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EEB24" w14:textId="14740937" w:rsidR="00BE1920" w:rsidRDefault="00D01593"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3804D2" w14:paraId="17085C3B" w14:textId="77777777" w:rsidTr="00643408">
        <w:trPr>
          <w:cantSplit/>
          <w:trHeight w:val="569"/>
        </w:trPr>
        <w:tc>
          <w:tcPr>
            <w:tcW w:w="3545" w:type="dxa"/>
            <w:shd w:val="clear" w:color="auto" w:fill="BFBFBF"/>
            <w:vAlign w:val="center"/>
          </w:tcPr>
          <w:p w14:paraId="5C2E3522" w14:textId="77777777" w:rsidR="00613EC1" w:rsidRPr="00D1305C" w:rsidRDefault="00D01593" w:rsidP="00643408">
            <w:pPr>
              <w:pStyle w:val="Heading2"/>
              <w:jc w:val="center"/>
            </w:pPr>
            <w:r>
              <w:t>Report of</w:t>
            </w:r>
          </w:p>
        </w:tc>
        <w:tc>
          <w:tcPr>
            <w:tcW w:w="4252" w:type="dxa"/>
            <w:shd w:val="clear" w:color="auto" w:fill="BFBFBF"/>
            <w:vAlign w:val="center"/>
          </w:tcPr>
          <w:p w14:paraId="73B94732" w14:textId="0510C8E0" w:rsidR="00613EC1" w:rsidRPr="00D1305C" w:rsidRDefault="00D01593" w:rsidP="00643408">
            <w:pPr>
              <w:pStyle w:val="Heading2"/>
              <w:jc w:val="center"/>
            </w:pPr>
            <w:r>
              <w:t>Meeting</w:t>
            </w:r>
          </w:p>
        </w:tc>
        <w:tc>
          <w:tcPr>
            <w:tcW w:w="2268" w:type="dxa"/>
            <w:shd w:val="clear" w:color="auto" w:fill="BFBFBF"/>
            <w:vAlign w:val="center"/>
          </w:tcPr>
          <w:p w14:paraId="25ED2DF2" w14:textId="77777777" w:rsidR="00613EC1" w:rsidRPr="00D1305C" w:rsidRDefault="00D01593" w:rsidP="00643408">
            <w:pPr>
              <w:pStyle w:val="Heading2"/>
              <w:jc w:val="center"/>
            </w:pPr>
            <w:r>
              <w:t>Date</w:t>
            </w:r>
          </w:p>
        </w:tc>
      </w:tr>
      <w:tr w:rsidR="003804D2"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15EC46D2" w:rsidR="005E7794" w:rsidRPr="007637E9" w:rsidRDefault="002C7859"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Head of Audit and Risk</w:t>
            </w:r>
          </w:p>
        </w:tc>
        <w:tc>
          <w:tcPr>
            <w:tcW w:w="4252" w:type="dxa"/>
            <w:tcBorders>
              <w:bottom w:val="single" w:sz="4" w:space="0" w:color="auto"/>
            </w:tcBorders>
            <w:shd w:val="clear" w:color="auto" w:fill="auto"/>
            <w:vAlign w:val="center"/>
          </w:tcPr>
          <w:p w14:paraId="25D0C923" w14:textId="71470B0D" w:rsidR="00FB3074" w:rsidRDefault="00D01593"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Governance Committee</w:t>
            </w:r>
            <w:r>
              <w:rPr>
                <w:rFonts w:ascii="Arial" w:eastAsia="Times New Roman" w:hAnsi="Arial" w:cs="Arial"/>
                <w:color w:val="000000" w:themeColor="text1"/>
                <w:kern w:val="36"/>
                <w:lang w:eastAsia="en-GB"/>
              </w:rPr>
              <w:fldChar w:fldCharType="end"/>
            </w:r>
          </w:p>
          <w:p w14:paraId="43AA6D97" w14:textId="4A0ACE4B"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F620894" w:rsidR="00613EC1" w:rsidRPr="007637E9" w:rsidRDefault="00D01593"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Tuesday, 26 September 2023</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D01593"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Internal Audit Progress report</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3804D2" w14:paraId="0AD96D7A" w14:textId="77777777" w:rsidTr="002F1805">
        <w:tc>
          <w:tcPr>
            <w:tcW w:w="4508" w:type="dxa"/>
          </w:tcPr>
          <w:p w14:paraId="74BA9174" w14:textId="377462C0" w:rsidR="00E75510" w:rsidRPr="00E75510" w:rsidRDefault="00D01593" w:rsidP="00E75510">
            <w:pPr>
              <w:pStyle w:val="Heading1"/>
              <w:spacing w:before="0" w:beforeAutospacing="0" w:after="0" w:afterAutospacing="0"/>
              <w:ind w:left="37" w:hanging="37"/>
              <w:outlineLvl w:val="0"/>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346B138A" w14:textId="5B53ACF4" w:rsidR="00E75510" w:rsidRPr="002C7859" w:rsidRDefault="00D01593" w:rsidP="002C7859">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No</w:t>
            </w: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3804D2" w14:paraId="79243691" w14:textId="77777777" w:rsidTr="002F1805">
        <w:tc>
          <w:tcPr>
            <w:tcW w:w="4513" w:type="dxa"/>
          </w:tcPr>
          <w:p w14:paraId="403AD24C" w14:textId="521BBEE5" w:rsidR="00E75510" w:rsidRPr="00E75510" w:rsidRDefault="00D01593" w:rsidP="00E75510">
            <w:pPr>
              <w:pStyle w:val="Heading1"/>
              <w:spacing w:before="0" w:beforeAutospacing="0" w:after="0" w:afterAutospacing="0"/>
              <w:outlineLvl w:val="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09B9C76A" w14:textId="79EC0A58" w:rsidR="00E75510" w:rsidRPr="002C7859" w:rsidRDefault="00D01593" w:rsidP="002C7859">
            <w:pPr>
              <w:rPr>
                <w:rFonts w:eastAsia="Times New Roman" w:cstheme="minorHAnsi"/>
                <w:bCs/>
                <w:color w:val="000000" w:themeColor="text1"/>
                <w:kern w:val="36"/>
                <w:lang w:eastAsia="en-GB"/>
              </w:rPr>
            </w:pPr>
            <w:r w:rsidRPr="00E75510">
              <w:rPr>
                <w:rFonts w:eastAsia="Times New Roman" w:cstheme="minorHAnsi"/>
                <w:bCs/>
                <w:color w:val="000000" w:themeColor="text1"/>
                <w:kern w:val="36"/>
                <w:lang w:eastAsia="en-GB"/>
              </w:rPr>
              <w:t>No</w:t>
            </w:r>
          </w:p>
        </w:tc>
      </w:tr>
    </w:tbl>
    <w:p w14:paraId="1A6F3A77" w14:textId="3822A0A0" w:rsidR="00E75510" w:rsidRDefault="00E75510" w:rsidP="006B62C4">
      <w:pPr>
        <w:spacing w:after="0"/>
      </w:pPr>
    </w:p>
    <w:p w14:paraId="2378F936" w14:textId="77777777" w:rsidR="00E75510" w:rsidRDefault="00E75510" w:rsidP="006B62C4">
      <w:pPr>
        <w:spacing w:after="0"/>
      </w:pPr>
    </w:p>
    <w:p w14:paraId="6022D43D" w14:textId="0831C57B" w:rsidR="00D1305C" w:rsidRDefault="00D01593"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7B1E93A5" w14:textId="17D01520" w:rsidR="002C7859" w:rsidRPr="00940B66" w:rsidRDefault="002C7859" w:rsidP="00267057">
      <w:pPr>
        <w:numPr>
          <w:ilvl w:val="0"/>
          <w:numId w:val="8"/>
        </w:numPr>
        <w:spacing w:after="0" w:line="240" w:lineRule="auto"/>
        <w:ind w:left="567" w:hanging="567"/>
        <w:jc w:val="both"/>
        <w:rPr>
          <w:rFonts w:cstheme="minorHAnsi"/>
          <w:bCs/>
        </w:rPr>
      </w:pPr>
      <w:r w:rsidRPr="00940B66">
        <w:rPr>
          <w:rFonts w:cstheme="minorHAnsi"/>
          <w:bCs/>
          <w:iCs/>
        </w:rPr>
        <w:t>The purpose of this report is to advise members of the work undertaken in respect of the Internal Audit Plan from April 202</w:t>
      </w:r>
      <w:r>
        <w:rPr>
          <w:rFonts w:cstheme="minorHAnsi"/>
          <w:bCs/>
          <w:iCs/>
        </w:rPr>
        <w:t>3</w:t>
      </w:r>
      <w:r w:rsidRPr="00940B66">
        <w:rPr>
          <w:rFonts w:cstheme="minorHAnsi"/>
          <w:bCs/>
          <w:iCs/>
        </w:rPr>
        <w:t xml:space="preserve"> to August 202</w:t>
      </w:r>
      <w:r>
        <w:rPr>
          <w:rFonts w:cstheme="minorHAnsi"/>
          <w:bCs/>
          <w:iCs/>
        </w:rPr>
        <w:t>3</w:t>
      </w:r>
      <w:r w:rsidRPr="00940B66">
        <w:rPr>
          <w:rFonts w:cstheme="minorHAnsi"/>
          <w:bCs/>
          <w:iCs/>
        </w:rPr>
        <w:t xml:space="preserve"> and to give an appraisal of the Internal Audit Service’s performance to date.   </w:t>
      </w:r>
    </w:p>
    <w:p w14:paraId="333504B3" w14:textId="7E2BEB38" w:rsidR="00D1305C" w:rsidRDefault="00D1305C" w:rsidP="002C7859">
      <w:pPr>
        <w:spacing w:after="0" w:line="240" w:lineRule="auto"/>
        <w:ind w:left="567"/>
        <w:jc w:val="both"/>
        <w:rPr>
          <w:rFonts w:cstheme="minorHAnsi"/>
          <w:bCs/>
          <w:iCs/>
        </w:rPr>
      </w:pPr>
    </w:p>
    <w:p w14:paraId="4D3FB65E" w14:textId="2044152F" w:rsidR="008C37E1" w:rsidRDefault="008C37E1"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3804D2" w14:paraId="49565DB1" w14:textId="77777777" w:rsidTr="006B62C4">
        <w:trPr>
          <w:gridAfter w:val="1"/>
          <w:wAfter w:w="142" w:type="dxa"/>
        </w:trPr>
        <w:tc>
          <w:tcPr>
            <w:tcW w:w="9016" w:type="dxa"/>
            <w:gridSpan w:val="2"/>
          </w:tcPr>
          <w:p w14:paraId="1A2F0848" w14:textId="70F07B58" w:rsidR="008C37E1" w:rsidRDefault="00D01593" w:rsidP="006B62C4">
            <w:pPr>
              <w:pStyle w:val="Heading2"/>
              <w:outlineLvl w:val="1"/>
            </w:pPr>
            <w:r w:rsidRPr="00A67766">
              <w:t>Recommendations</w:t>
            </w:r>
          </w:p>
          <w:p w14:paraId="68D8342C" w14:textId="77777777" w:rsidR="008C37E1" w:rsidRDefault="008C37E1" w:rsidP="006B62C4"/>
        </w:tc>
      </w:tr>
      <w:tr w:rsidR="003804D2" w14:paraId="0A492511" w14:textId="77777777" w:rsidTr="006B62C4">
        <w:trPr>
          <w:gridBefore w:val="1"/>
          <w:wBefore w:w="142" w:type="dxa"/>
        </w:trPr>
        <w:tc>
          <w:tcPr>
            <w:tcW w:w="9016" w:type="dxa"/>
            <w:gridSpan w:val="2"/>
          </w:tcPr>
          <w:p w14:paraId="0B561B88" w14:textId="77777777" w:rsidR="00E10BF8" w:rsidRDefault="002C7859" w:rsidP="00A67766">
            <w:pPr>
              <w:numPr>
                <w:ilvl w:val="0"/>
                <w:numId w:val="9"/>
              </w:numPr>
              <w:ind w:left="459" w:hanging="567"/>
              <w:rPr>
                <w:rFonts w:cstheme="minorHAnsi"/>
                <w:bCs/>
                <w:iCs/>
              </w:rPr>
            </w:pPr>
            <w:r>
              <w:rPr>
                <w:rFonts w:cstheme="minorHAnsi"/>
                <w:bCs/>
                <w:iCs/>
              </w:rPr>
              <w:t>Members are asked to note the position with regard to the Internal Audit Plan.</w:t>
            </w:r>
          </w:p>
          <w:p w14:paraId="115523C0" w14:textId="2B37F71A" w:rsidR="00E13285" w:rsidRPr="00E10BF8" w:rsidRDefault="00E13285" w:rsidP="00A67766">
            <w:pPr>
              <w:numPr>
                <w:ilvl w:val="0"/>
                <w:numId w:val="9"/>
              </w:numPr>
              <w:ind w:left="459" w:hanging="567"/>
              <w:rPr>
                <w:rFonts w:cstheme="minorHAnsi"/>
                <w:bCs/>
                <w:iCs/>
              </w:rPr>
            </w:pPr>
            <w:r>
              <w:rPr>
                <w:rFonts w:cstheme="minorHAnsi"/>
                <w:bCs/>
                <w:iCs/>
              </w:rPr>
              <w:t>Members are asked to approve the deferral of two reviews from the April to September Internal Audit Plan.</w:t>
            </w:r>
          </w:p>
        </w:tc>
      </w:tr>
      <w:tr w:rsidR="003804D2"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3804D2" w14:paraId="78D929ED" w14:textId="77777777" w:rsidTr="00E709F7">
        <w:trPr>
          <w:gridAfter w:val="1"/>
          <w:wAfter w:w="142" w:type="dxa"/>
        </w:trPr>
        <w:tc>
          <w:tcPr>
            <w:tcW w:w="9016" w:type="dxa"/>
            <w:gridSpan w:val="2"/>
          </w:tcPr>
          <w:p w14:paraId="1CA7264F" w14:textId="77777777" w:rsidR="00E10BF8" w:rsidRDefault="00D01593" w:rsidP="00E709F7">
            <w:pPr>
              <w:pStyle w:val="Heading2"/>
              <w:outlineLvl w:val="1"/>
            </w:pPr>
            <w:r w:rsidRPr="00613EC1">
              <w:t>Reasons for recommendations</w:t>
            </w:r>
          </w:p>
          <w:p w14:paraId="3F569D31" w14:textId="77777777" w:rsidR="00E10BF8" w:rsidRDefault="00E10BF8" w:rsidP="00E709F7"/>
        </w:tc>
      </w:tr>
      <w:tr w:rsidR="003804D2" w14:paraId="765A3A56" w14:textId="77777777" w:rsidTr="00E709F7">
        <w:trPr>
          <w:gridBefore w:val="1"/>
          <w:wBefore w:w="142" w:type="dxa"/>
        </w:trPr>
        <w:tc>
          <w:tcPr>
            <w:tcW w:w="9016" w:type="dxa"/>
            <w:gridSpan w:val="2"/>
          </w:tcPr>
          <w:p w14:paraId="296DDA3E" w14:textId="08054BA8" w:rsidR="00E10BF8" w:rsidRPr="00E963B8" w:rsidRDefault="002C7859" w:rsidP="00E963B8">
            <w:pPr>
              <w:pStyle w:val="ListParagraph"/>
              <w:numPr>
                <w:ilvl w:val="0"/>
                <w:numId w:val="9"/>
              </w:numPr>
              <w:spacing w:after="0" w:line="240" w:lineRule="auto"/>
              <w:ind w:left="602" w:hanging="709"/>
              <w:jc w:val="both"/>
              <w:rPr>
                <w:rFonts w:cstheme="minorHAnsi"/>
                <w:bCs/>
                <w:iCs/>
              </w:rPr>
            </w:pPr>
            <w:r>
              <w:rPr>
                <w:rFonts w:cstheme="minorHAnsi"/>
                <w:bCs/>
                <w:iCs/>
              </w:rPr>
              <w:t xml:space="preserve">Consideration of the progress against the Internal Audit Plan is a requirement of the Public Sector Internal Audit Standards. </w:t>
            </w: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3804D2" w14:paraId="6C4B6455" w14:textId="77777777" w:rsidTr="002F4B61">
        <w:trPr>
          <w:gridAfter w:val="1"/>
          <w:wAfter w:w="142" w:type="dxa"/>
        </w:trPr>
        <w:tc>
          <w:tcPr>
            <w:tcW w:w="9016" w:type="dxa"/>
            <w:gridSpan w:val="2"/>
          </w:tcPr>
          <w:p w14:paraId="3D6705DE" w14:textId="77777777" w:rsidR="00E10BF8" w:rsidRDefault="00D01593" w:rsidP="002F4B61">
            <w:pPr>
              <w:pStyle w:val="Heading2"/>
              <w:outlineLvl w:val="1"/>
            </w:pPr>
            <w:r w:rsidRPr="00613EC1">
              <w:t>Other options considered and rejected</w:t>
            </w:r>
          </w:p>
          <w:p w14:paraId="5DA05E38" w14:textId="460EB5F3" w:rsidR="00E10BF8" w:rsidRDefault="00E10BF8" w:rsidP="002F4B61"/>
        </w:tc>
      </w:tr>
      <w:tr w:rsidR="003804D2" w14:paraId="0C9ABC90" w14:textId="77777777" w:rsidTr="002F4B61">
        <w:trPr>
          <w:gridBefore w:val="1"/>
          <w:wBefore w:w="142" w:type="dxa"/>
        </w:trPr>
        <w:tc>
          <w:tcPr>
            <w:tcW w:w="9016" w:type="dxa"/>
            <w:gridSpan w:val="2"/>
          </w:tcPr>
          <w:p w14:paraId="2354F07D" w14:textId="4D772CBE" w:rsidR="00E10BF8" w:rsidRPr="00E10BF8" w:rsidRDefault="002C7859" w:rsidP="00E13285">
            <w:pPr>
              <w:numPr>
                <w:ilvl w:val="0"/>
                <w:numId w:val="10"/>
              </w:numPr>
              <w:ind w:left="605" w:hanging="709"/>
              <w:jc w:val="both"/>
              <w:rPr>
                <w:rFonts w:cstheme="minorHAnsi"/>
                <w:bCs/>
                <w:iCs/>
              </w:rPr>
            </w:pPr>
            <w:r>
              <w:rPr>
                <w:rFonts w:cstheme="minorHAnsi"/>
                <w:bCs/>
                <w:iCs/>
              </w:rPr>
              <w:t xml:space="preserve">Not applicable. </w:t>
            </w:r>
          </w:p>
        </w:tc>
      </w:tr>
    </w:tbl>
    <w:p w14:paraId="6EC42FAA" w14:textId="77777777" w:rsidR="00D1305C" w:rsidRPr="002F1805" w:rsidRDefault="00D1305C" w:rsidP="002F1805">
      <w:pPr>
        <w:spacing w:after="0" w:line="240" w:lineRule="auto"/>
        <w:jc w:val="both"/>
        <w:rPr>
          <w:rFonts w:cstheme="minorHAnsi"/>
          <w:bCs/>
          <w:iCs/>
        </w:rPr>
      </w:pPr>
    </w:p>
    <w:p w14:paraId="50BF898F" w14:textId="79EA4E98" w:rsidR="00D1305C" w:rsidRPr="008C37E1" w:rsidRDefault="00D01593"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7E359EDC" w:rsidR="00D1305C" w:rsidRPr="00CD4005" w:rsidRDefault="00D01593" w:rsidP="00E13285">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r w:rsidRPr="00CD4005">
        <w:rPr>
          <w:rFonts w:cstheme="minorHAnsi"/>
          <w:bCs/>
          <w:iCs/>
        </w:rPr>
        <w:t>(</w:t>
      </w:r>
      <w:r w:rsidR="007637E9" w:rsidRPr="00CD4005">
        <w:rPr>
          <w:rFonts w:cstheme="minorHAnsi"/>
          <w:bCs/>
          <w:iCs/>
        </w:rPr>
        <w:t>Please bold</w:t>
      </w:r>
      <w:r w:rsidRPr="00CD4005">
        <w:rPr>
          <w:rFonts w:cstheme="minorHAnsi"/>
          <w:bCs/>
          <w:iCs/>
        </w:rPr>
        <w:t xml:space="preserve"> </w:t>
      </w:r>
      <w:r w:rsidR="005629DD">
        <w:rPr>
          <w:rFonts w:cstheme="minorHAnsi"/>
          <w:bCs/>
          <w:iCs/>
        </w:rPr>
        <w:t>one</w:t>
      </w:r>
      <w:r w:rsidRPr="00CD4005">
        <w:rPr>
          <w:rFonts w:cstheme="minorHAnsi"/>
          <w:bCs/>
          <w:iCs/>
        </w:rPr>
        <w:t>)</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3804D2" w14:paraId="6ADAB65E" w14:textId="77777777" w:rsidTr="009A018E">
        <w:tc>
          <w:tcPr>
            <w:tcW w:w="4707" w:type="dxa"/>
          </w:tcPr>
          <w:p w14:paraId="2DBEC97A" w14:textId="2DD93C0C" w:rsidR="008F13BA" w:rsidRPr="002C7859" w:rsidRDefault="00D01593" w:rsidP="00804F02">
            <w:pPr>
              <w:tabs>
                <w:tab w:val="left" w:pos="567"/>
              </w:tabs>
              <w:jc w:val="center"/>
              <w:rPr>
                <w:b/>
                <w:bCs/>
              </w:rPr>
            </w:pPr>
            <w:r w:rsidRPr="002C7859">
              <w:rPr>
                <w:rFonts w:ascii="Arial" w:hAnsi="Arial" w:cs="Arial"/>
                <w:b/>
                <w:bCs/>
              </w:rPr>
              <w:t>An exemplary council</w:t>
            </w:r>
          </w:p>
        </w:tc>
        <w:tc>
          <w:tcPr>
            <w:tcW w:w="4678" w:type="dxa"/>
          </w:tcPr>
          <w:p w14:paraId="4FADAC6E" w14:textId="405E8571" w:rsidR="008F13BA" w:rsidRPr="00B85F3A" w:rsidRDefault="00D01593" w:rsidP="00804F02">
            <w:pPr>
              <w:tabs>
                <w:tab w:val="left" w:pos="567"/>
              </w:tabs>
              <w:jc w:val="center"/>
            </w:pPr>
            <w:r>
              <w:rPr>
                <w:rFonts w:ascii="Arial" w:hAnsi="Arial" w:cs="Arial"/>
              </w:rPr>
              <w:t>Thriving communities</w:t>
            </w:r>
          </w:p>
        </w:tc>
      </w:tr>
      <w:tr w:rsidR="003804D2" w14:paraId="1E03E666" w14:textId="77777777" w:rsidTr="009A018E">
        <w:tc>
          <w:tcPr>
            <w:tcW w:w="4707" w:type="dxa"/>
          </w:tcPr>
          <w:p w14:paraId="63931B2C" w14:textId="5A43FA2E" w:rsidR="008F13BA" w:rsidRPr="00B85F3A" w:rsidRDefault="00D01593" w:rsidP="009A018E">
            <w:pPr>
              <w:tabs>
                <w:tab w:val="left" w:pos="567"/>
              </w:tabs>
              <w:spacing w:after="0"/>
              <w:jc w:val="center"/>
            </w:pPr>
            <w:r>
              <w:rPr>
                <w:rFonts w:ascii="Arial" w:hAnsi="Arial" w:cs="Arial"/>
              </w:rPr>
              <w:t>A fair local economy that works for everyone</w:t>
            </w:r>
          </w:p>
        </w:tc>
        <w:tc>
          <w:tcPr>
            <w:tcW w:w="4678" w:type="dxa"/>
          </w:tcPr>
          <w:p w14:paraId="46CCFE25" w14:textId="04699E15" w:rsidR="008F13BA" w:rsidRPr="00B85F3A" w:rsidRDefault="00D01593" w:rsidP="00804F02">
            <w:pPr>
              <w:autoSpaceDE w:val="0"/>
              <w:autoSpaceDN w:val="0"/>
              <w:adjustRightInd w:val="0"/>
              <w:spacing w:after="0"/>
              <w:jc w:val="center"/>
            </w:pPr>
            <w:r>
              <w:rPr>
                <w:rFonts w:ascii="Arial" w:hAnsi="Arial" w:cs="Arial"/>
              </w:rPr>
              <w:t>Good homes, green spaces, healthy places</w:t>
            </w:r>
          </w:p>
        </w:tc>
      </w:tr>
    </w:tbl>
    <w:p w14:paraId="7E4A9580" w14:textId="77777777" w:rsidR="00D1305C" w:rsidRPr="00D4431F" w:rsidRDefault="00D1305C" w:rsidP="002F1805">
      <w:pPr>
        <w:spacing w:after="0" w:line="240" w:lineRule="auto"/>
        <w:jc w:val="both"/>
        <w:rPr>
          <w:rFonts w:cstheme="minorHAnsi"/>
          <w:bCs/>
        </w:rPr>
      </w:pPr>
    </w:p>
    <w:p w14:paraId="0E564E0F" w14:textId="09FD1481" w:rsidR="00D1305C" w:rsidRPr="008C37E1" w:rsidRDefault="00D01593" w:rsidP="002F4B61">
      <w:pPr>
        <w:pStyle w:val="Heading2"/>
      </w:pPr>
      <w:r w:rsidRPr="008C37E1">
        <w:t>Background to the report</w:t>
      </w:r>
    </w:p>
    <w:p w14:paraId="4D083E1A" w14:textId="77777777" w:rsidR="002F1805" w:rsidRPr="002F1805" w:rsidRDefault="002F1805" w:rsidP="002F4B61">
      <w:pPr>
        <w:spacing w:after="0"/>
      </w:pPr>
    </w:p>
    <w:p w14:paraId="7FF81BE9" w14:textId="6A982DA1" w:rsidR="002C7859" w:rsidRPr="00561C34" w:rsidRDefault="002C7859" w:rsidP="00E13285">
      <w:pPr>
        <w:numPr>
          <w:ilvl w:val="0"/>
          <w:numId w:val="18"/>
        </w:numPr>
        <w:spacing w:after="0" w:line="240" w:lineRule="auto"/>
        <w:ind w:left="567" w:hanging="567"/>
        <w:jc w:val="both"/>
        <w:rPr>
          <w:rFonts w:cstheme="minorHAnsi"/>
          <w:bCs/>
          <w:i/>
        </w:rPr>
      </w:pPr>
      <w:r>
        <w:rPr>
          <w:rFonts w:cstheme="minorHAnsi"/>
          <w:bCs/>
          <w:iCs/>
        </w:rPr>
        <w:t>The Internal Audit Plan for the six months April to September 202</w:t>
      </w:r>
      <w:r w:rsidR="00795744">
        <w:rPr>
          <w:rFonts w:cstheme="minorHAnsi"/>
          <w:bCs/>
          <w:iCs/>
        </w:rPr>
        <w:t>3</w:t>
      </w:r>
      <w:r>
        <w:rPr>
          <w:rFonts w:cstheme="minorHAnsi"/>
          <w:bCs/>
          <w:iCs/>
        </w:rPr>
        <w:t xml:space="preserve"> was approved by this Committee at its meeting in </w:t>
      </w:r>
      <w:r w:rsidR="00795744">
        <w:rPr>
          <w:rFonts w:cstheme="minorHAnsi"/>
          <w:bCs/>
          <w:iCs/>
        </w:rPr>
        <w:t xml:space="preserve">March </w:t>
      </w:r>
      <w:r>
        <w:rPr>
          <w:rFonts w:cstheme="minorHAnsi"/>
          <w:bCs/>
          <w:iCs/>
        </w:rPr>
        <w:t>202</w:t>
      </w:r>
      <w:r w:rsidR="00795744">
        <w:rPr>
          <w:rFonts w:cstheme="minorHAnsi"/>
          <w:bCs/>
          <w:iCs/>
        </w:rPr>
        <w:t>3</w:t>
      </w:r>
      <w:r>
        <w:rPr>
          <w:rFonts w:cstheme="minorHAnsi"/>
          <w:bCs/>
          <w:iCs/>
        </w:rPr>
        <w:t xml:space="preserve"> and provides for </w:t>
      </w:r>
      <w:r w:rsidR="00795744">
        <w:rPr>
          <w:rFonts w:cstheme="minorHAnsi"/>
          <w:bCs/>
          <w:iCs/>
        </w:rPr>
        <w:t>141</w:t>
      </w:r>
      <w:r>
        <w:rPr>
          <w:rFonts w:cstheme="minorHAnsi"/>
          <w:bCs/>
          <w:iCs/>
        </w:rPr>
        <w:t xml:space="preserve"> days of audit work. </w:t>
      </w:r>
    </w:p>
    <w:p w14:paraId="6C53C8C1" w14:textId="77777777" w:rsidR="002C7859" w:rsidRPr="004A1BB9" w:rsidRDefault="002C7859" w:rsidP="002C7859">
      <w:pPr>
        <w:spacing w:after="0" w:line="240" w:lineRule="auto"/>
        <w:ind w:left="360"/>
        <w:jc w:val="both"/>
        <w:rPr>
          <w:rFonts w:cstheme="minorHAnsi"/>
          <w:bCs/>
          <w:i/>
        </w:rPr>
      </w:pPr>
    </w:p>
    <w:p w14:paraId="61DD296D" w14:textId="77777777" w:rsidR="00795744" w:rsidRDefault="00795744" w:rsidP="002C7859">
      <w:pPr>
        <w:pStyle w:val="Heading2"/>
        <w:rPr>
          <w:rFonts w:asciiTheme="majorHAnsi" w:hAnsiTheme="majorHAnsi" w:cstheme="majorHAnsi"/>
        </w:rPr>
      </w:pPr>
    </w:p>
    <w:p w14:paraId="7E87BF43" w14:textId="77777777" w:rsidR="00795744" w:rsidRDefault="00795744" w:rsidP="002C7859">
      <w:pPr>
        <w:pStyle w:val="Heading2"/>
        <w:rPr>
          <w:rFonts w:asciiTheme="majorHAnsi" w:hAnsiTheme="majorHAnsi" w:cstheme="majorHAnsi"/>
        </w:rPr>
      </w:pPr>
    </w:p>
    <w:p w14:paraId="654991EA" w14:textId="38C163A7" w:rsidR="002C7859" w:rsidRDefault="002C7859" w:rsidP="002C7859">
      <w:pPr>
        <w:pStyle w:val="Heading2"/>
        <w:rPr>
          <w:rFonts w:asciiTheme="majorHAnsi" w:hAnsiTheme="majorHAnsi" w:cstheme="majorHAnsi"/>
        </w:rPr>
      </w:pPr>
      <w:r>
        <w:rPr>
          <w:rFonts w:asciiTheme="majorHAnsi" w:hAnsiTheme="majorHAnsi" w:cstheme="majorHAnsi"/>
        </w:rPr>
        <w:t xml:space="preserve">Internal Audit Reports </w:t>
      </w:r>
    </w:p>
    <w:p w14:paraId="6E18D050" w14:textId="77777777" w:rsidR="00795744" w:rsidRPr="00CA04F3" w:rsidRDefault="00795744" w:rsidP="002C7859">
      <w:pPr>
        <w:pStyle w:val="Heading2"/>
        <w:rPr>
          <w:rFonts w:asciiTheme="majorHAnsi" w:hAnsiTheme="majorHAnsi" w:cstheme="majorHAnsi"/>
        </w:rPr>
      </w:pPr>
    </w:p>
    <w:p w14:paraId="526FBD4F" w14:textId="6B1B64A2" w:rsidR="002C7859" w:rsidRPr="00795744" w:rsidRDefault="002C7859" w:rsidP="00795744">
      <w:pPr>
        <w:numPr>
          <w:ilvl w:val="0"/>
          <w:numId w:val="18"/>
        </w:numPr>
        <w:spacing w:after="0" w:line="240" w:lineRule="auto"/>
        <w:ind w:left="567" w:hanging="567"/>
        <w:jc w:val="both"/>
        <w:rPr>
          <w:rFonts w:cstheme="minorHAnsi"/>
          <w:bCs/>
        </w:rPr>
      </w:pPr>
      <w:r w:rsidRPr="00972D90">
        <w:rPr>
          <w:rFonts w:cstheme="minorHAnsi"/>
          <w:b/>
          <w:iCs/>
        </w:rPr>
        <w:t>Appendix A</w:t>
      </w:r>
      <w:r w:rsidRPr="00972D90">
        <w:rPr>
          <w:rFonts w:cstheme="minorHAnsi"/>
          <w:bCs/>
          <w:iCs/>
        </w:rPr>
        <w:t xml:space="preserve"> provides a snapshot of the overall progress made in relation to the six month Internal Audit Plan, indicating which audits have been completed and their assurance rating, those that are in progress and those that have yet to start.  </w:t>
      </w:r>
    </w:p>
    <w:p w14:paraId="14F09151" w14:textId="6C038AA5" w:rsidR="00795744" w:rsidRDefault="00795744" w:rsidP="00795744">
      <w:pPr>
        <w:spacing w:after="0" w:line="240" w:lineRule="auto"/>
        <w:jc w:val="both"/>
        <w:rPr>
          <w:rFonts w:cstheme="minorHAnsi"/>
          <w:bCs/>
        </w:rPr>
      </w:pPr>
    </w:p>
    <w:p w14:paraId="5EEABAF3" w14:textId="5CEC6C99" w:rsidR="00795744" w:rsidRPr="00795744" w:rsidRDefault="00795744" w:rsidP="00795744">
      <w:pPr>
        <w:pStyle w:val="ListParagraph"/>
        <w:numPr>
          <w:ilvl w:val="0"/>
          <w:numId w:val="18"/>
        </w:numPr>
        <w:spacing w:after="0" w:line="240" w:lineRule="auto"/>
        <w:ind w:left="567" w:hanging="567"/>
        <w:jc w:val="both"/>
        <w:rPr>
          <w:rFonts w:cstheme="minorHAnsi"/>
          <w:bCs/>
        </w:rPr>
      </w:pPr>
      <w:r>
        <w:rPr>
          <w:rFonts w:cstheme="minorHAnsi"/>
          <w:bCs/>
        </w:rPr>
        <w:t xml:space="preserve">As members will be aware, </w:t>
      </w:r>
      <w:r w:rsidR="00506D5E">
        <w:rPr>
          <w:rFonts w:cstheme="minorHAnsi"/>
          <w:bCs/>
        </w:rPr>
        <w:t xml:space="preserve">previously </w:t>
      </w:r>
      <w:r>
        <w:rPr>
          <w:rFonts w:cstheme="minorHAnsi"/>
          <w:bCs/>
        </w:rPr>
        <w:t>if Internal Audit reports are issued with a limited assurance rating, a full copy has been appended to the progress reports.   Going forwards, it has been agreed with the Chair that in the interests of openness and transparency, all Internal Audit reports will be published with the agenda.</w:t>
      </w:r>
    </w:p>
    <w:p w14:paraId="23BE70D8" w14:textId="77777777" w:rsidR="002C7859" w:rsidRDefault="002C7859" w:rsidP="002C7859">
      <w:pPr>
        <w:spacing w:after="0" w:line="240" w:lineRule="auto"/>
        <w:ind w:left="720"/>
        <w:jc w:val="both"/>
        <w:rPr>
          <w:rFonts w:cstheme="minorHAnsi"/>
          <w:b/>
          <w:iCs/>
        </w:rPr>
      </w:pPr>
    </w:p>
    <w:p w14:paraId="65E46038" w14:textId="4E127FE0" w:rsidR="002C7859" w:rsidRPr="005319D1" w:rsidRDefault="002C7859" w:rsidP="00795744">
      <w:pPr>
        <w:numPr>
          <w:ilvl w:val="0"/>
          <w:numId w:val="18"/>
        </w:numPr>
        <w:spacing w:after="0" w:line="240" w:lineRule="auto"/>
        <w:ind w:left="567" w:hanging="567"/>
        <w:jc w:val="both"/>
        <w:rPr>
          <w:rFonts w:cstheme="minorHAnsi"/>
          <w:bCs/>
        </w:rPr>
      </w:pPr>
      <w:r>
        <w:rPr>
          <w:rFonts w:cstheme="minorHAnsi"/>
          <w:bCs/>
          <w:iCs/>
        </w:rPr>
        <w:t xml:space="preserve">The table below highlights the </w:t>
      </w:r>
      <w:r w:rsidR="00795744">
        <w:rPr>
          <w:rFonts w:cstheme="minorHAnsi"/>
          <w:bCs/>
          <w:iCs/>
        </w:rPr>
        <w:t>work completed to date</w:t>
      </w:r>
      <w:r w:rsidR="000C3494">
        <w:rPr>
          <w:rFonts w:cstheme="minorHAnsi"/>
          <w:bCs/>
          <w:iCs/>
        </w:rPr>
        <w:t xml:space="preserve"> with</w:t>
      </w:r>
      <w:r>
        <w:rPr>
          <w:rFonts w:cstheme="minorHAnsi"/>
          <w:bCs/>
          <w:iCs/>
        </w:rPr>
        <w:t xml:space="preserve"> any issues identified where applicable:</w:t>
      </w:r>
    </w:p>
    <w:p w14:paraId="5867921E" w14:textId="77777777" w:rsidR="002C7859" w:rsidRDefault="002C7859" w:rsidP="002C7859">
      <w:pPr>
        <w:spacing w:after="0" w:line="240" w:lineRule="auto"/>
        <w:jc w:val="both"/>
        <w:rPr>
          <w:rFonts w:cstheme="minorHAnsi"/>
          <w:bCs/>
        </w:rPr>
      </w:pPr>
    </w:p>
    <w:tbl>
      <w:tblPr>
        <w:tblStyle w:val="TableGrid"/>
        <w:tblW w:w="0" w:type="auto"/>
        <w:tblLook w:val="04A0" w:firstRow="1" w:lastRow="0" w:firstColumn="1" w:lastColumn="0" w:noHBand="0" w:noVBand="1"/>
      </w:tblPr>
      <w:tblGrid>
        <w:gridCol w:w="2122"/>
        <w:gridCol w:w="1417"/>
        <w:gridCol w:w="5477"/>
      </w:tblGrid>
      <w:tr w:rsidR="002C7859" w14:paraId="71AD64E9" w14:textId="77777777" w:rsidTr="005449B9">
        <w:tc>
          <w:tcPr>
            <w:tcW w:w="2122" w:type="dxa"/>
            <w:shd w:val="clear" w:color="auto" w:fill="8DB3E2" w:themeFill="text2" w:themeFillTint="66"/>
          </w:tcPr>
          <w:p w14:paraId="185D79AB" w14:textId="77777777" w:rsidR="002C7859" w:rsidRPr="005319D1" w:rsidRDefault="002C7859" w:rsidP="005449B9">
            <w:pPr>
              <w:jc w:val="both"/>
              <w:rPr>
                <w:rFonts w:cstheme="minorHAnsi"/>
                <w:b/>
              </w:rPr>
            </w:pPr>
            <w:r w:rsidRPr="005319D1">
              <w:rPr>
                <w:rFonts w:cstheme="minorHAnsi"/>
                <w:b/>
              </w:rPr>
              <w:t>Name of Review</w:t>
            </w:r>
          </w:p>
        </w:tc>
        <w:tc>
          <w:tcPr>
            <w:tcW w:w="1417" w:type="dxa"/>
            <w:shd w:val="clear" w:color="auto" w:fill="8DB3E2" w:themeFill="text2" w:themeFillTint="66"/>
          </w:tcPr>
          <w:p w14:paraId="551156C2" w14:textId="77777777" w:rsidR="002C7859" w:rsidRDefault="002C7859" w:rsidP="005449B9">
            <w:pPr>
              <w:jc w:val="both"/>
              <w:rPr>
                <w:rFonts w:cstheme="minorHAnsi"/>
                <w:b/>
              </w:rPr>
            </w:pPr>
            <w:r w:rsidRPr="005319D1">
              <w:rPr>
                <w:rFonts w:cstheme="minorHAnsi"/>
                <w:b/>
              </w:rPr>
              <w:t>Assurance Rating</w:t>
            </w:r>
          </w:p>
          <w:p w14:paraId="153A2ED0" w14:textId="77777777" w:rsidR="002C7859" w:rsidRPr="005319D1" w:rsidRDefault="002C7859" w:rsidP="005449B9">
            <w:pPr>
              <w:jc w:val="both"/>
              <w:rPr>
                <w:rFonts w:cstheme="minorHAnsi"/>
                <w:b/>
              </w:rPr>
            </w:pPr>
          </w:p>
        </w:tc>
        <w:tc>
          <w:tcPr>
            <w:tcW w:w="5477" w:type="dxa"/>
            <w:shd w:val="clear" w:color="auto" w:fill="8DB3E2" w:themeFill="text2" w:themeFillTint="66"/>
          </w:tcPr>
          <w:p w14:paraId="7422AF56" w14:textId="77777777" w:rsidR="002C7859" w:rsidRPr="005319D1" w:rsidRDefault="002C7859" w:rsidP="005449B9">
            <w:pPr>
              <w:jc w:val="both"/>
              <w:rPr>
                <w:rFonts w:cstheme="minorHAnsi"/>
                <w:b/>
              </w:rPr>
            </w:pPr>
            <w:r w:rsidRPr="005319D1">
              <w:rPr>
                <w:rFonts w:cstheme="minorHAnsi"/>
                <w:b/>
              </w:rPr>
              <w:t>Comments</w:t>
            </w:r>
          </w:p>
        </w:tc>
      </w:tr>
      <w:tr w:rsidR="004D6039" w14:paraId="0187B4FE" w14:textId="77777777" w:rsidTr="00110020">
        <w:tc>
          <w:tcPr>
            <w:tcW w:w="9016" w:type="dxa"/>
            <w:gridSpan w:val="3"/>
            <w:shd w:val="clear" w:color="auto" w:fill="DBE5F1" w:themeFill="accent1" w:themeFillTint="33"/>
          </w:tcPr>
          <w:p w14:paraId="5498B5EA" w14:textId="3A35F44C" w:rsidR="004D6039" w:rsidRPr="005319D1" w:rsidRDefault="004D6039" w:rsidP="005449B9">
            <w:pPr>
              <w:jc w:val="both"/>
              <w:rPr>
                <w:rFonts w:cstheme="minorHAnsi"/>
                <w:b/>
              </w:rPr>
            </w:pPr>
            <w:r>
              <w:rPr>
                <w:rFonts w:cstheme="minorHAnsi"/>
                <w:b/>
              </w:rPr>
              <w:t>2023-24</w:t>
            </w:r>
          </w:p>
        </w:tc>
      </w:tr>
      <w:tr w:rsidR="002C7859" w14:paraId="4DDE5415" w14:textId="77777777" w:rsidTr="005449B9">
        <w:tc>
          <w:tcPr>
            <w:tcW w:w="2122" w:type="dxa"/>
          </w:tcPr>
          <w:p w14:paraId="2405236D" w14:textId="77777777" w:rsidR="002C7859" w:rsidRDefault="002C7859" w:rsidP="005449B9">
            <w:pPr>
              <w:rPr>
                <w:rFonts w:cstheme="minorHAnsi"/>
                <w:bCs/>
                <w:iCs/>
              </w:rPr>
            </w:pPr>
            <w:r>
              <w:rPr>
                <w:rFonts w:cstheme="minorHAnsi"/>
                <w:bCs/>
                <w:iCs/>
              </w:rPr>
              <w:t>Annual Governance Statement (AGS)</w:t>
            </w:r>
          </w:p>
        </w:tc>
        <w:tc>
          <w:tcPr>
            <w:tcW w:w="1417" w:type="dxa"/>
          </w:tcPr>
          <w:p w14:paraId="742CCBE9" w14:textId="77777777" w:rsidR="002C7859" w:rsidRDefault="002C7859" w:rsidP="005449B9">
            <w:pPr>
              <w:jc w:val="both"/>
              <w:rPr>
                <w:rFonts w:cstheme="minorHAnsi"/>
                <w:bCs/>
              </w:rPr>
            </w:pPr>
            <w:r>
              <w:rPr>
                <w:rFonts w:cstheme="minorHAnsi"/>
                <w:bCs/>
              </w:rPr>
              <w:t>Not applicable</w:t>
            </w:r>
          </w:p>
        </w:tc>
        <w:tc>
          <w:tcPr>
            <w:tcW w:w="5477" w:type="dxa"/>
          </w:tcPr>
          <w:p w14:paraId="75979623" w14:textId="0A095971" w:rsidR="002C7859" w:rsidRDefault="002C7859" w:rsidP="005449B9">
            <w:r>
              <w:t>Proactive input was provided to inform the AGS Action plan presented to the Governance Committee in May 202</w:t>
            </w:r>
            <w:r w:rsidR="000C3494">
              <w:t>3.</w:t>
            </w:r>
          </w:p>
          <w:p w14:paraId="5367BD84" w14:textId="77777777" w:rsidR="002C7859" w:rsidRDefault="002C7859" w:rsidP="005449B9"/>
        </w:tc>
      </w:tr>
      <w:tr w:rsidR="002C7859" w14:paraId="20D1593A" w14:textId="77777777" w:rsidTr="00C9033C">
        <w:trPr>
          <w:trHeight w:val="1974"/>
        </w:trPr>
        <w:tc>
          <w:tcPr>
            <w:tcW w:w="2122" w:type="dxa"/>
          </w:tcPr>
          <w:p w14:paraId="654C8F61" w14:textId="77777777" w:rsidR="002C7859" w:rsidRPr="00C9033C" w:rsidRDefault="002C7859" w:rsidP="005449B9">
            <w:pPr>
              <w:rPr>
                <w:rFonts w:cstheme="minorHAnsi"/>
                <w:bCs/>
              </w:rPr>
            </w:pPr>
            <w:r w:rsidRPr="00C9033C">
              <w:rPr>
                <w:rFonts w:cstheme="minorHAnsi"/>
                <w:bCs/>
                <w:iCs/>
              </w:rPr>
              <w:t>National Fraud Initiative</w:t>
            </w:r>
          </w:p>
        </w:tc>
        <w:tc>
          <w:tcPr>
            <w:tcW w:w="1417" w:type="dxa"/>
          </w:tcPr>
          <w:p w14:paraId="45256FB4" w14:textId="77777777" w:rsidR="002C7859" w:rsidRPr="00C9033C" w:rsidRDefault="002C7859" w:rsidP="005449B9">
            <w:pPr>
              <w:jc w:val="both"/>
              <w:rPr>
                <w:rFonts w:cstheme="minorHAnsi"/>
                <w:bCs/>
              </w:rPr>
            </w:pPr>
            <w:r w:rsidRPr="00C9033C">
              <w:rPr>
                <w:rFonts w:cstheme="minorHAnsi"/>
                <w:bCs/>
              </w:rPr>
              <w:t>Not applicable</w:t>
            </w:r>
          </w:p>
        </w:tc>
        <w:tc>
          <w:tcPr>
            <w:tcW w:w="5477" w:type="dxa"/>
          </w:tcPr>
          <w:p w14:paraId="489AAED4" w14:textId="0C84D76C" w:rsidR="00C9033C" w:rsidRDefault="00C9033C" w:rsidP="00C9033C">
            <w:r>
              <w:t>Internal Audit are working with officers to ensure that the results from the main NFI Exercise issued in February 2023 are completed.   In addition, work is in progress with regards to the Council Tax Single Person Discount review, which had been delayed due to recruitment challenges and administering various Government initiatives.</w:t>
            </w:r>
          </w:p>
          <w:p w14:paraId="2596AF57" w14:textId="77777777" w:rsidR="002C7859" w:rsidRPr="000C3494" w:rsidRDefault="002C7859" w:rsidP="00C9033C">
            <w:pPr>
              <w:pStyle w:val="Heading2"/>
              <w:outlineLvl w:val="1"/>
              <w:rPr>
                <w:rFonts w:cstheme="minorHAnsi"/>
                <w:bCs w:val="0"/>
                <w:color w:val="FF0000"/>
              </w:rPr>
            </w:pPr>
          </w:p>
        </w:tc>
      </w:tr>
      <w:tr w:rsidR="002C7859" w14:paraId="70217D23" w14:textId="77777777" w:rsidTr="005449B9">
        <w:tc>
          <w:tcPr>
            <w:tcW w:w="2122" w:type="dxa"/>
          </w:tcPr>
          <w:p w14:paraId="0B575184" w14:textId="77777777" w:rsidR="002C7859" w:rsidRDefault="000C3494" w:rsidP="005449B9">
            <w:pPr>
              <w:rPr>
                <w:rFonts w:cstheme="minorHAnsi"/>
                <w:bCs/>
                <w:iCs/>
              </w:rPr>
            </w:pPr>
            <w:r>
              <w:rPr>
                <w:rFonts w:cstheme="minorHAnsi"/>
                <w:bCs/>
                <w:iCs/>
              </w:rPr>
              <w:t>Sundry Debtors – Aged Debts</w:t>
            </w:r>
          </w:p>
          <w:p w14:paraId="1A58B787" w14:textId="24BD4045" w:rsidR="00651429" w:rsidRDefault="00651429" w:rsidP="005449B9">
            <w:pPr>
              <w:rPr>
                <w:rFonts w:cstheme="minorHAnsi"/>
                <w:bCs/>
                <w:iCs/>
              </w:rPr>
            </w:pPr>
          </w:p>
        </w:tc>
        <w:tc>
          <w:tcPr>
            <w:tcW w:w="1417" w:type="dxa"/>
          </w:tcPr>
          <w:p w14:paraId="58856506" w14:textId="0113039F" w:rsidR="002C7859" w:rsidRDefault="0057271F" w:rsidP="005449B9">
            <w:pPr>
              <w:jc w:val="both"/>
              <w:rPr>
                <w:rFonts w:cstheme="minorHAnsi"/>
                <w:bCs/>
              </w:rPr>
            </w:pPr>
            <w:r>
              <w:rPr>
                <w:rFonts w:cstheme="minorHAnsi"/>
                <w:bCs/>
              </w:rPr>
              <w:t>Limited</w:t>
            </w:r>
          </w:p>
        </w:tc>
        <w:tc>
          <w:tcPr>
            <w:tcW w:w="5477" w:type="dxa"/>
          </w:tcPr>
          <w:p w14:paraId="39F46708" w14:textId="216F2351" w:rsidR="002C7859" w:rsidRDefault="0057271F" w:rsidP="005449B9">
            <w:r>
              <w:t>A copy of this report is included at Appendix B</w:t>
            </w:r>
          </w:p>
        </w:tc>
      </w:tr>
      <w:tr w:rsidR="00BF268F" w14:paraId="7EF49180" w14:textId="77777777" w:rsidTr="005449B9">
        <w:tc>
          <w:tcPr>
            <w:tcW w:w="2122" w:type="dxa"/>
          </w:tcPr>
          <w:p w14:paraId="13B02AD8" w14:textId="77777777" w:rsidR="00BF268F" w:rsidRDefault="00BF268F" w:rsidP="005449B9">
            <w:pPr>
              <w:rPr>
                <w:rFonts w:cstheme="minorHAnsi"/>
                <w:bCs/>
                <w:iCs/>
              </w:rPr>
            </w:pPr>
            <w:r>
              <w:rPr>
                <w:rFonts w:cstheme="minorHAnsi"/>
                <w:bCs/>
                <w:iCs/>
              </w:rPr>
              <w:t>Revenues and Benefits Project Team</w:t>
            </w:r>
          </w:p>
          <w:p w14:paraId="3B3F5B71" w14:textId="2FDEDC24" w:rsidR="00651429" w:rsidRDefault="00651429" w:rsidP="005449B9">
            <w:pPr>
              <w:rPr>
                <w:rFonts w:cstheme="minorHAnsi"/>
                <w:bCs/>
                <w:iCs/>
              </w:rPr>
            </w:pPr>
          </w:p>
        </w:tc>
        <w:tc>
          <w:tcPr>
            <w:tcW w:w="1417" w:type="dxa"/>
          </w:tcPr>
          <w:p w14:paraId="08A3C2EA" w14:textId="431F61AD" w:rsidR="00BF268F" w:rsidRDefault="00BF268F" w:rsidP="005449B9">
            <w:pPr>
              <w:jc w:val="both"/>
              <w:rPr>
                <w:rFonts w:cstheme="minorHAnsi"/>
                <w:bCs/>
              </w:rPr>
            </w:pPr>
            <w:r>
              <w:rPr>
                <w:rFonts w:cstheme="minorHAnsi"/>
                <w:bCs/>
              </w:rPr>
              <w:t>Not applicable</w:t>
            </w:r>
          </w:p>
        </w:tc>
        <w:tc>
          <w:tcPr>
            <w:tcW w:w="5477" w:type="dxa"/>
          </w:tcPr>
          <w:p w14:paraId="0D793BB7" w14:textId="6A0397D5" w:rsidR="00BF268F" w:rsidRDefault="00BF268F" w:rsidP="005449B9">
            <w:r>
              <w:t>Pro active support to assist with the alignment of revenues and benefits processes.</w:t>
            </w:r>
          </w:p>
        </w:tc>
      </w:tr>
      <w:tr w:rsidR="002C7859" w14:paraId="13356F62" w14:textId="77777777" w:rsidTr="005449B9">
        <w:tc>
          <w:tcPr>
            <w:tcW w:w="2122" w:type="dxa"/>
          </w:tcPr>
          <w:p w14:paraId="2BD25D1E" w14:textId="4595C9FE" w:rsidR="002C7859" w:rsidRDefault="0057271F" w:rsidP="005449B9">
            <w:pPr>
              <w:rPr>
                <w:rFonts w:asciiTheme="majorHAnsi" w:hAnsiTheme="majorHAnsi" w:cstheme="majorHAnsi"/>
              </w:rPr>
            </w:pPr>
            <w:r>
              <w:rPr>
                <w:rFonts w:asciiTheme="majorHAnsi" w:hAnsiTheme="majorHAnsi" w:cstheme="majorHAnsi"/>
              </w:rPr>
              <w:t>Building Control</w:t>
            </w:r>
          </w:p>
        </w:tc>
        <w:tc>
          <w:tcPr>
            <w:tcW w:w="1417" w:type="dxa"/>
          </w:tcPr>
          <w:p w14:paraId="404B18AC" w14:textId="64E00977" w:rsidR="002C7859" w:rsidRDefault="0057271F" w:rsidP="005449B9">
            <w:pPr>
              <w:jc w:val="both"/>
              <w:rPr>
                <w:rFonts w:cstheme="minorHAnsi"/>
                <w:bCs/>
              </w:rPr>
            </w:pPr>
            <w:r>
              <w:rPr>
                <w:rFonts w:cstheme="minorHAnsi"/>
                <w:bCs/>
              </w:rPr>
              <w:t>Adequate</w:t>
            </w:r>
          </w:p>
        </w:tc>
        <w:tc>
          <w:tcPr>
            <w:tcW w:w="5477" w:type="dxa"/>
          </w:tcPr>
          <w:p w14:paraId="7F11CB97" w14:textId="77777777" w:rsidR="002C7859" w:rsidRDefault="0057271F" w:rsidP="005449B9">
            <w:pPr>
              <w:jc w:val="both"/>
              <w:rPr>
                <w:rFonts w:asciiTheme="majorHAnsi" w:hAnsiTheme="majorHAnsi" w:cstheme="majorHAnsi"/>
              </w:rPr>
            </w:pPr>
            <w:r w:rsidRPr="0057271F">
              <w:rPr>
                <w:rFonts w:asciiTheme="majorHAnsi" w:hAnsiTheme="majorHAnsi" w:cstheme="majorHAnsi"/>
              </w:rPr>
              <w:t>A copy of this report is included at Appendix C</w:t>
            </w:r>
          </w:p>
          <w:p w14:paraId="5A308A45" w14:textId="262F490A" w:rsidR="00192BB1" w:rsidRPr="0057271F" w:rsidRDefault="00192BB1" w:rsidP="005449B9">
            <w:pPr>
              <w:jc w:val="both"/>
              <w:rPr>
                <w:rFonts w:asciiTheme="majorHAnsi" w:hAnsiTheme="majorHAnsi" w:cstheme="majorHAnsi"/>
              </w:rPr>
            </w:pPr>
          </w:p>
        </w:tc>
      </w:tr>
      <w:tr w:rsidR="00BF268F" w14:paraId="1D8619BD" w14:textId="77777777" w:rsidTr="005449B9">
        <w:tc>
          <w:tcPr>
            <w:tcW w:w="2122" w:type="dxa"/>
          </w:tcPr>
          <w:p w14:paraId="0FED667C" w14:textId="7BD3922D" w:rsidR="00BF268F" w:rsidRDefault="00BF268F" w:rsidP="005449B9">
            <w:pPr>
              <w:rPr>
                <w:rFonts w:asciiTheme="majorHAnsi" w:hAnsiTheme="majorHAnsi" w:cstheme="majorHAnsi"/>
              </w:rPr>
            </w:pPr>
            <w:r>
              <w:rPr>
                <w:rFonts w:asciiTheme="majorHAnsi" w:hAnsiTheme="majorHAnsi" w:cstheme="majorHAnsi"/>
              </w:rPr>
              <w:t>Commercial Directorate Development Group</w:t>
            </w:r>
          </w:p>
        </w:tc>
        <w:tc>
          <w:tcPr>
            <w:tcW w:w="1417" w:type="dxa"/>
          </w:tcPr>
          <w:p w14:paraId="21816895" w14:textId="5BC02DC2" w:rsidR="00BF268F" w:rsidRDefault="00BF268F" w:rsidP="005449B9">
            <w:pPr>
              <w:jc w:val="both"/>
              <w:rPr>
                <w:rFonts w:cstheme="minorHAnsi"/>
                <w:bCs/>
              </w:rPr>
            </w:pPr>
            <w:r>
              <w:rPr>
                <w:rFonts w:cstheme="minorHAnsi"/>
                <w:bCs/>
              </w:rPr>
              <w:t>Not applicable</w:t>
            </w:r>
          </w:p>
        </w:tc>
        <w:tc>
          <w:tcPr>
            <w:tcW w:w="5477" w:type="dxa"/>
          </w:tcPr>
          <w:p w14:paraId="0258DD52" w14:textId="77777777" w:rsidR="00BF268F" w:rsidRDefault="00192BB1" w:rsidP="00192BB1">
            <w:pPr>
              <w:rPr>
                <w:rFonts w:asciiTheme="majorHAnsi" w:hAnsiTheme="majorHAnsi" w:cstheme="majorHAnsi"/>
              </w:rPr>
            </w:pPr>
            <w:r>
              <w:rPr>
                <w:rFonts w:asciiTheme="majorHAnsi" w:hAnsiTheme="majorHAnsi" w:cstheme="majorHAnsi"/>
              </w:rPr>
              <w:t>The Head of Audit and Risk is a member of the group established to develop and embed a strong governance framework and a positive culture focused on high quality service delivery.</w:t>
            </w:r>
          </w:p>
          <w:p w14:paraId="7C95E52E" w14:textId="24E50E0D" w:rsidR="00192BB1" w:rsidRPr="0057271F" w:rsidRDefault="00192BB1" w:rsidP="005449B9">
            <w:pPr>
              <w:jc w:val="both"/>
              <w:rPr>
                <w:rFonts w:asciiTheme="majorHAnsi" w:hAnsiTheme="majorHAnsi" w:cstheme="majorHAnsi"/>
              </w:rPr>
            </w:pPr>
          </w:p>
        </w:tc>
      </w:tr>
      <w:tr w:rsidR="00192BB1" w14:paraId="66693E08" w14:textId="77777777" w:rsidTr="005449B9">
        <w:tc>
          <w:tcPr>
            <w:tcW w:w="2122" w:type="dxa"/>
          </w:tcPr>
          <w:p w14:paraId="4E8435A3" w14:textId="7FFE59A1" w:rsidR="00192BB1" w:rsidRDefault="00192BB1" w:rsidP="005449B9">
            <w:pPr>
              <w:rPr>
                <w:rFonts w:asciiTheme="majorHAnsi" w:hAnsiTheme="majorHAnsi" w:cstheme="majorHAnsi"/>
              </w:rPr>
            </w:pPr>
            <w:r>
              <w:rPr>
                <w:rFonts w:asciiTheme="majorHAnsi" w:hAnsiTheme="majorHAnsi" w:cstheme="majorHAnsi"/>
              </w:rPr>
              <w:t>Project support</w:t>
            </w:r>
          </w:p>
        </w:tc>
        <w:tc>
          <w:tcPr>
            <w:tcW w:w="1417" w:type="dxa"/>
          </w:tcPr>
          <w:p w14:paraId="410A8116" w14:textId="17DDC1FC" w:rsidR="00192BB1" w:rsidRDefault="00192BB1" w:rsidP="005449B9">
            <w:pPr>
              <w:jc w:val="both"/>
              <w:rPr>
                <w:rFonts w:cstheme="minorHAnsi"/>
                <w:bCs/>
              </w:rPr>
            </w:pPr>
            <w:r>
              <w:rPr>
                <w:rFonts w:cstheme="minorHAnsi"/>
                <w:bCs/>
              </w:rPr>
              <w:t>Not applicable</w:t>
            </w:r>
          </w:p>
        </w:tc>
        <w:tc>
          <w:tcPr>
            <w:tcW w:w="5477" w:type="dxa"/>
          </w:tcPr>
          <w:p w14:paraId="5E9EC43F" w14:textId="77777777" w:rsidR="00192BB1" w:rsidRDefault="00192BB1" w:rsidP="00192BB1">
            <w:pPr>
              <w:rPr>
                <w:rFonts w:asciiTheme="majorHAnsi" w:hAnsiTheme="majorHAnsi" w:cstheme="majorHAnsi"/>
              </w:rPr>
            </w:pPr>
            <w:r>
              <w:rPr>
                <w:rFonts w:asciiTheme="majorHAnsi" w:hAnsiTheme="majorHAnsi" w:cstheme="majorHAnsi"/>
              </w:rPr>
              <w:t>Pro active support is being provided with the large scale projects.</w:t>
            </w:r>
          </w:p>
          <w:p w14:paraId="4B06FEC9" w14:textId="64279C29" w:rsidR="00192BB1" w:rsidRDefault="00192BB1" w:rsidP="00192BB1">
            <w:pPr>
              <w:rPr>
                <w:rFonts w:asciiTheme="majorHAnsi" w:hAnsiTheme="majorHAnsi" w:cstheme="majorHAnsi"/>
              </w:rPr>
            </w:pPr>
          </w:p>
        </w:tc>
      </w:tr>
      <w:tr w:rsidR="002C7859" w14:paraId="08176650" w14:textId="77777777" w:rsidTr="005449B9">
        <w:tc>
          <w:tcPr>
            <w:tcW w:w="2122" w:type="dxa"/>
          </w:tcPr>
          <w:p w14:paraId="5C851B7B" w14:textId="2AB5EBCD" w:rsidR="002C7859" w:rsidRDefault="0057271F" w:rsidP="005449B9">
            <w:pPr>
              <w:jc w:val="both"/>
              <w:rPr>
                <w:rFonts w:cstheme="minorHAnsi"/>
                <w:bCs/>
              </w:rPr>
            </w:pPr>
            <w:r>
              <w:rPr>
                <w:rFonts w:cstheme="minorHAnsi"/>
                <w:bCs/>
              </w:rPr>
              <w:t>Data Quality</w:t>
            </w:r>
          </w:p>
        </w:tc>
        <w:tc>
          <w:tcPr>
            <w:tcW w:w="1417" w:type="dxa"/>
          </w:tcPr>
          <w:p w14:paraId="797C272E" w14:textId="3FBDCE81" w:rsidR="002C7859" w:rsidRDefault="0057271F" w:rsidP="005449B9">
            <w:pPr>
              <w:jc w:val="both"/>
              <w:rPr>
                <w:rFonts w:cstheme="minorHAnsi"/>
                <w:bCs/>
              </w:rPr>
            </w:pPr>
            <w:r>
              <w:rPr>
                <w:rFonts w:cstheme="minorHAnsi"/>
                <w:bCs/>
              </w:rPr>
              <w:t>Adequate</w:t>
            </w:r>
          </w:p>
        </w:tc>
        <w:tc>
          <w:tcPr>
            <w:tcW w:w="5477" w:type="dxa"/>
          </w:tcPr>
          <w:p w14:paraId="5F7B4FF1" w14:textId="5F491024" w:rsidR="002C7859" w:rsidRDefault="0057271F" w:rsidP="005449B9">
            <w:pPr>
              <w:jc w:val="both"/>
              <w:rPr>
                <w:rFonts w:cstheme="minorHAnsi"/>
                <w:bCs/>
              </w:rPr>
            </w:pPr>
            <w:r>
              <w:rPr>
                <w:rFonts w:cstheme="minorHAnsi"/>
                <w:bCs/>
              </w:rPr>
              <w:t>A copy of this report is included at Appendix D</w:t>
            </w:r>
          </w:p>
          <w:p w14:paraId="10FD20FA" w14:textId="59E6DFE0" w:rsidR="00C9033C" w:rsidRDefault="00C9033C" w:rsidP="005449B9">
            <w:pPr>
              <w:jc w:val="both"/>
              <w:rPr>
                <w:rFonts w:cstheme="minorHAnsi"/>
                <w:bCs/>
              </w:rPr>
            </w:pPr>
          </w:p>
          <w:p w14:paraId="0927720A" w14:textId="77777777" w:rsidR="00C9033C" w:rsidRDefault="00C9033C" w:rsidP="005449B9">
            <w:pPr>
              <w:jc w:val="both"/>
              <w:rPr>
                <w:rFonts w:cstheme="minorHAnsi"/>
                <w:bCs/>
              </w:rPr>
            </w:pPr>
          </w:p>
          <w:p w14:paraId="37485B3C" w14:textId="6DE0ECC7" w:rsidR="00506D5E" w:rsidRDefault="00506D5E" w:rsidP="005449B9">
            <w:pPr>
              <w:jc w:val="both"/>
              <w:rPr>
                <w:rFonts w:cstheme="minorHAnsi"/>
                <w:bCs/>
              </w:rPr>
            </w:pPr>
          </w:p>
          <w:p w14:paraId="68E88248" w14:textId="77777777" w:rsidR="00506D5E" w:rsidRDefault="00506D5E" w:rsidP="005449B9">
            <w:pPr>
              <w:jc w:val="both"/>
              <w:rPr>
                <w:rFonts w:cstheme="minorHAnsi"/>
                <w:bCs/>
              </w:rPr>
            </w:pPr>
          </w:p>
          <w:p w14:paraId="2AF80653" w14:textId="750F1A92" w:rsidR="00506D5E" w:rsidRPr="00665D90" w:rsidRDefault="00506D5E" w:rsidP="005449B9">
            <w:pPr>
              <w:jc w:val="both"/>
              <w:rPr>
                <w:rFonts w:cstheme="minorHAnsi"/>
                <w:bCs/>
              </w:rPr>
            </w:pPr>
          </w:p>
        </w:tc>
      </w:tr>
      <w:tr w:rsidR="00651429" w14:paraId="29E20350" w14:textId="77777777" w:rsidTr="00CE7646">
        <w:tc>
          <w:tcPr>
            <w:tcW w:w="9016" w:type="dxa"/>
            <w:gridSpan w:val="3"/>
            <w:shd w:val="clear" w:color="auto" w:fill="DBE5F1" w:themeFill="accent1" w:themeFillTint="33"/>
          </w:tcPr>
          <w:p w14:paraId="5FA3CC50" w14:textId="5454A99E" w:rsidR="00651429" w:rsidRDefault="00651429" w:rsidP="005449B9">
            <w:pPr>
              <w:jc w:val="both"/>
              <w:rPr>
                <w:rFonts w:cstheme="minorHAnsi"/>
                <w:bCs/>
              </w:rPr>
            </w:pPr>
            <w:r>
              <w:rPr>
                <w:rFonts w:cstheme="minorHAnsi"/>
                <w:b/>
              </w:rPr>
              <w:lastRenderedPageBreak/>
              <w:t>2022-23</w:t>
            </w:r>
          </w:p>
        </w:tc>
      </w:tr>
      <w:tr w:rsidR="00651429" w14:paraId="0E1011B8" w14:textId="77777777" w:rsidTr="00651429">
        <w:tc>
          <w:tcPr>
            <w:tcW w:w="2122" w:type="dxa"/>
            <w:shd w:val="clear" w:color="auto" w:fill="FFFFFF" w:themeFill="background1"/>
          </w:tcPr>
          <w:p w14:paraId="1DD84A50" w14:textId="35E6FE68" w:rsidR="00651429" w:rsidRPr="00651429" w:rsidRDefault="00651429" w:rsidP="005449B9">
            <w:pPr>
              <w:jc w:val="both"/>
              <w:rPr>
                <w:rFonts w:cstheme="minorHAnsi"/>
                <w:bCs/>
              </w:rPr>
            </w:pPr>
            <w:r w:rsidRPr="00651429">
              <w:rPr>
                <w:rFonts w:cstheme="minorHAnsi"/>
                <w:bCs/>
              </w:rPr>
              <w:t>Phishing exercise</w:t>
            </w:r>
          </w:p>
        </w:tc>
        <w:tc>
          <w:tcPr>
            <w:tcW w:w="1417" w:type="dxa"/>
            <w:shd w:val="clear" w:color="auto" w:fill="FFFFFF" w:themeFill="background1"/>
          </w:tcPr>
          <w:p w14:paraId="0DA79F21" w14:textId="67FE9832" w:rsidR="00651429" w:rsidRPr="00651429" w:rsidRDefault="00651429" w:rsidP="005449B9">
            <w:pPr>
              <w:jc w:val="both"/>
              <w:rPr>
                <w:rFonts w:cstheme="minorHAnsi"/>
                <w:bCs/>
              </w:rPr>
            </w:pPr>
            <w:r>
              <w:rPr>
                <w:rFonts w:cstheme="minorHAnsi"/>
                <w:bCs/>
              </w:rPr>
              <w:t>Not applicable</w:t>
            </w:r>
          </w:p>
        </w:tc>
        <w:tc>
          <w:tcPr>
            <w:tcW w:w="5477" w:type="dxa"/>
            <w:shd w:val="clear" w:color="auto" w:fill="FFFFFF" w:themeFill="background1"/>
          </w:tcPr>
          <w:p w14:paraId="091E39CE" w14:textId="77777777" w:rsidR="00651429" w:rsidRPr="00D85D59" w:rsidRDefault="00651429" w:rsidP="005449B9">
            <w:pPr>
              <w:jc w:val="both"/>
              <w:rPr>
                <w:rFonts w:cstheme="minorHAnsi"/>
                <w:bCs/>
              </w:rPr>
            </w:pPr>
            <w:r w:rsidRPr="00D85D59">
              <w:rPr>
                <w:rFonts w:cstheme="minorHAnsi"/>
                <w:bCs/>
              </w:rPr>
              <w:t xml:space="preserve">The exercise highlighted that the Council has robust controls </w:t>
            </w:r>
            <w:r w:rsidR="009947D7" w:rsidRPr="00D85D59">
              <w:rPr>
                <w:rFonts w:cstheme="minorHAnsi"/>
                <w:bCs/>
              </w:rPr>
              <w:t>and attempts to access the network were thwarted.  However, there is still some learning from the exercise and actions have been agreed to further strengthen the current arrangements.</w:t>
            </w:r>
          </w:p>
          <w:p w14:paraId="341B1562" w14:textId="12A96F44" w:rsidR="009947D7" w:rsidRPr="00D85D59" w:rsidRDefault="009947D7" w:rsidP="005449B9">
            <w:pPr>
              <w:jc w:val="both"/>
              <w:rPr>
                <w:rFonts w:cstheme="minorHAnsi"/>
                <w:bCs/>
              </w:rPr>
            </w:pPr>
          </w:p>
        </w:tc>
      </w:tr>
    </w:tbl>
    <w:p w14:paraId="7D75B549" w14:textId="77777777" w:rsidR="002C7859" w:rsidRDefault="002C7859" w:rsidP="002C7859">
      <w:pPr>
        <w:spacing w:after="0" w:line="240" w:lineRule="auto"/>
        <w:jc w:val="both"/>
      </w:pPr>
    </w:p>
    <w:p w14:paraId="7F5FCE51" w14:textId="77777777" w:rsidR="00192BB1" w:rsidRDefault="00192BB1" w:rsidP="002C7859">
      <w:pPr>
        <w:pStyle w:val="ListParagraph"/>
        <w:spacing w:after="0" w:line="240" w:lineRule="auto"/>
        <w:ind w:left="0"/>
        <w:jc w:val="both"/>
        <w:rPr>
          <w:b/>
          <w:bCs/>
        </w:rPr>
      </w:pPr>
    </w:p>
    <w:p w14:paraId="27B8A73C" w14:textId="0BDB83E6" w:rsidR="002C7859" w:rsidRPr="00B43FA8" w:rsidRDefault="002C7859" w:rsidP="002C7859">
      <w:pPr>
        <w:pStyle w:val="ListParagraph"/>
        <w:spacing w:after="0" w:line="240" w:lineRule="auto"/>
        <w:ind w:left="0"/>
        <w:jc w:val="both"/>
        <w:rPr>
          <w:b/>
          <w:bCs/>
        </w:rPr>
      </w:pPr>
      <w:r w:rsidRPr="00B43FA8">
        <w:rPr>
          <w:b/>
          <w:bCs/>
        </w:rPr>
        <w:t>Assurance Ratings Key</w:t>
      </w:r>
    </w:p>
    <w:p w14:paraId="71F46A0F" w14:textId="77777777" w:rsidR="002C7859" w:rsidRDefault="002C7859" w:rsidP="002C7859">
      <w:pPr>
        <w:pStyle w:val="ListParagraph"/>
        <w:spacing w:after="0" w:line="240" w:lineRule="auto"/>
        <w:jc w:val="both"/>
        <w:rPr>
          <w:sz w:val="23"/>
          <w:szCs w:val="23"/>
        </w:rPr>
      </w:pPr>
    </w:p>
    <w:tbl>
      <w:tblPr>
        <w:tblStyle w:val="TableGrid"/>
        <w:tblW w:w="0" w:type="auto"/>
        <w:tblInd w:w="-5" w:type="dxa"/>
        <w:tblLook w:val="04A0" w:firstRow="1" w:lastRow="0" w:firstColumn="1" w:lastColumn="0" w:noHBand="0" w:noVBand="1"/>
      </w:tblPr>
      <w:tblGrid>
        <w:gridCol w:w="1418"/>
        <w:gridCol w:w="7513"/>
      </w:tblGrid>
      <w:tr w:rsidR="002C7859" w:rsidRPr="002B0FC5" w14:paraId="2C9B1E05" w14:textId="77777777" w:rsidTr="005449B9">
        <w:tc>
          <w:tcPr>
            <w:tcW w:w="1418" w:type="dxa"/>
            <w:shd w:val="clear" w:color="auto" w:fill="8DB3E2" w:themeFill="text2" w:themeFillTint="66"/>
          </w:tcPr>
          <w:p w14:paraId="043FCF5A" w14:textId="77777777" w:rsidR="002C7859" w:rsidRDefault="002C7859" w:rsidP="005449B9">
            <w:pPr>
              <w:jc w:val="both"/>
              <w:rPr>
                <w:rFonts w:cs="Arial"/>
                <w:b/>
                <w:iCs/>
              </w:rPr>
            </w:pPr>
            <w:r w:rsidRPr="008A31BC">
              <w:rPr>
                <w:rFonts w:cs="Arial"/>
                <w:b/>
                <w:iCs/>
              </w:rPr>
              <w:t>Assurance Rating</w:t>
            </w:r>
          </w:p>
          <w:p w14:paraId="4895A34E" w14:textId="75CE3E7A" w:rsidR="008A31BC" w:rsidRPr="008A31BC" w:rsidRDefault="008A31BC" w:rsidP="005449B9">
            <w:pPr>
              <w:jc w:val="both"/>
              <w:rPr>
                <w:rFonts w:cs="Arial"/>
                <w:b/>
                <w:iCs/>
              </w:rPr>
            </w:pPr>
          </w:p>
        </w:tc>
        <w:tc>
          <w:tcPr>
            <w:tcW w:w="7513" w:type="dxa"/>
            <w:shd w:val="clear" w:color="auto" w:fill="8DB3E2" w:themeFill="text2" w:themeFillTint="66"/>
          </w:tcPr>
          <w:p w14:paraId="2FA6C9DE" w14:textId="77777777" w:rsidR="002C7859" w:rsidRPr="008A31BC" w:rsidRDefault="002C7859" w:rsidP="005449B9">
            <w:pPr>
              <w:contextualSpacing/>
              <w:rPr>
                <w:rFonts w:cs="Arial"/>
                <w:b/>
                <w:iCs/>
              </w:rPr>
            </w:pPr>
            <w:r w:rsidRPr="008A31BC">
              <w:rPr>
                <w:rFonts w:cs="Arial"/>
                <w:b/>
                <w:iCs/>
              </w:rPr>
              <w:t>Definition</w:t>
            </w:r>
          </w:p>
        </w:tc>
      </w:tr>
      <w:tr w:rsidR="002C7859" w:rsidRPr="002B0FC5" w14:paraId="1432B63E" w14:textId="77777777" w:rsidTr="005449B9">
        <w:tc>
          <w:tcPr>
            <w:tcW w:w="1418" w:type="dxa"/>
          </w:tcPr>
          <w:p w14:paraId="55DB6D86" w14:textId="77777777" w:rsidR="002C7859" w:rsidRPr="00987877" w:rsidRDefault="002C7859" w:rsidP="005449B9">
            <w:pPr>
              <w:jc w:val="both"/>
              <w:rPr>
                <w:rFonts w:cs="Arial"/>
              </w:rPr>
            </w:pPr>
            <w:r w:rsidRPr="00987877">
              <w:rPr>
                <w:rFonts w:cs="Arial"/>
                <w:b/>
                <w:iCs/>
              </w:rPr>
              <w:t>Full</w:t>
            </w:r>
          </w:p>
        </w:tc>
        <w:tc>
          <w:tcPr>
            <w:tcW w:w="7513" w:type="dxa"/>
          </w:tcPr>
          <w:p w14:paraId="5E058100" w14:textId="77777777" w:rsidR="002C7859" w:rsidRPr="00987877" w:rsidRDefault="002C7859" w:rsidP="005449B9">
            <w:pPr>
              <w:spacing w:after="200" w:line="276" w:lineRule="auto"/>
              <w:contextualSpacing/>
              <w:rPr>
                <w:rFonts w:cs="Arial"/>
              </w:rPr>
            </w:pPr>
            <w:r w:rsidRPr="00987877">
              <w:rPr>
                <w:rFonts w:cs="Arial"/>
                <w:iCs/>
              </w:rPr>
              <w:t>the Authority can place complete reliance on the controls.  No control weaknesses exist.</w:t>
            </w:r>
          </w:p>
        </w:tc>
      </w:tr>
      <w:tr w:rsidR="002C7859" w:rsidRPr="002B0FC5" w14:paraId="06D54442" w14:textId="77777777" w:rsidTr="005449B9">
        <w:tc>
          <w:tcPr>
            <w:tcW w:w="1418" w:type="dxa"/>
          </w:tcPr>
          <w:p w14:paraId="788628CF" w14:textId="77777777" w:rsidR="002C7859" w:rsidRPr="00987877" w:rsidRDefault="002C7859" w:rsidP="005449B9">
            <w:pPr>
              <w:jc w:val="both"/>
              <w:rPr>
                <w:rFonts w:cs="Arial"/>
              </w:rPr>
            </w:pPr>
            <w:r w:rsidRPr="00987877">
              <w:rPr>
                <w:rFonts w:cs="Arial"/>
                <w:b/>
                <w:lang w:val="en-US"/>
              </w:rPr>
              <w:t>Substantial</w:t>
            </w:r>
          </w:p>
        </w:tc>
        <w:tc>
          <w:tcPr>
            <w:tcW w:w="7513" w:type="dxa"/>
          </w:tcPr>
          <w:p w14:paraId="4DD8878E" w14:textId="77777777" w:rsidR="002C7859" w:rsidRPr="00987877" w:rsidRDefault="002C7859" w:rsidP="005449B9">
            <w:pPr>
              <w:spacing w:after="200" w:line="276" w:lineRule="auto"/>
              <w:contextualSpacing/>
              <w:rPr>
                <w:rFonts w:cs="Arial"/>
              </w:rPr>
            </w:pPr>
            <w:r w:rsidRPr="00987877">
              <w:rPr>
                <w:rFonts w:cs="Arial"/>
                <w:iCs/>
              </w:rPr>
              <w:t>the Authority can place sufficient reliance on the controls. Only minor control weaknesses exist.</w:t>
            </w:r>
          </w:p>
        </w:tc>
      </w:tr>
      <w:tr w:rsidR="002C7859" w:rsidRPr="002B0FC5" w14:paraId="55AEE235" w14:textId="77777777" w:rsidTr="005449B9">
        <w:tc>
          <w:tcPr>
            <w:tcW w:w="1418" w:type="dxa"/>
          </w:tcPr>
          <w:p w14:paraId="3EA83A25" w14:textId="77777777" w:rsidR="002C7859" w:rsidRPr="00987877" w:rsidRDefault="002C7859" w:rsidP="005449B9">
            <w:pPr>
              <w:jc w:val="both"/>
              <w:rPr>
                <w:rFonts w:cs="Arial"/>
              </w:rPr>
            </w:pPr>
            <w:r w:rsidRPr="00987877">
              <w:rPr>
                <w:rFonts w:cs="Arial"/>
                <w:b/>
                <w:lang w:val="en-US"/>
              </w:rPr>
              <w:t>Adequate</w:t>
            </w:r>
          </w:p>
        </w:tc>
        <w:tc>
          <w:tcPr>
            <w:tcW w:w="7513" w:type="dxa"/>
          </w:tcPr>
          <w:p w14:paraId="56CB70B0" w14:textId="77777777" w:rsidR="002C7859" w:rsidRPr="00987877" w:rsidRDefault="002C7859" w:rsidP="005449B9">
            <w:pPr>
              <w:jc w:val="both"/>
              <w:rPr>
                <w:rFonts w:cs="Arial"/>
              </w:rPr>
            </w:pPr>
            <w:r w:rsidRPr="00987877">
              <w:rPr>
                <w:rFonts w:cs="Arial"/>
                <w:iCs/>
              </w:rPr>
              <w:t>the Authority can place only partial reliance on the controls.  Some control issues need to be resolved</w:t>
            </w:r>
          </w:p>
        </w:tc>
      </w:tr>
      <w:tr w:rsidR="002C7859" w:rsidRPr="002B0FC5" w14:paraId="5F24A002" w14:textId="77777777" w:rsidTr="005449B9">
        <w:tc>
          <w:tcPr>
            <w:tcW w:w="1418" w:type="dxa"/>
          </w:tcPr>
          <w:p w14:paraId="3128F607" w14:textId="77777777" w:rsidR="002C7859" w:rsidRPr="00987877" w:rsidRDefault="002C7859" w:rsidP="005449B9">
            <w:pPr>
              <w:jc w:val="both"/>
              <w:rPr>
                <w:rFonts w:cs="Arial"/>
              </w:rPr>
            </w:pPr>
            <w:r w:rsidRPr="00987877">
              <w:rPr>
                <w:rFonts w:cs="Arial"/>
                <w:b/>
                <w:lang w:val="en-US"/>
              </w:rPr>
              <w:t>Limited</w:t>
            </w:r>
          </w:p>
        </w:tc>
        <w:tc>
          <w:tcPr>
            <w:tcW w:w="7513" w:type="dxa"/>
          </w:tcPr>
          <w:p w14:paraId="0B733E2B" w14:textId="77777777" w:rsidR="002C7859" w:rsidRPr="00987877" w:rsidRDefault="002C7859" w:rsidP="005449B9">
            <w:pPr>
              <w:jc w:val="both"/>
              <w:rPr>
                <w:rFonts w:cs="Arial"/>
              </w:rPr>
            </w:pPr>
            <w:r w:rsidRPr="00987877">
              <w:rPr>
                <w:rFonts w:cs="Arial"/>
                <w:iCs/>
              </w:rPr>
              <w:t>the Authority cannot place sufficient reliance on the controls.  Substantive control weaknesses exist</w:t>
            </w:r>
          </w:p>
        </w:tc>
      </w:tr>
    </w:tbl>
    <w:p w14:paraId="1B1B42E6" w14:textId="77777777" w:rsidR="002C7859" w:rsidRDefault="002C7859" w:rsidP="002C7859">
      <w:pPr>
        <w:pStyle w:val="ListParagraph"/>
        <w:spacing w:after="0" w:line="240" w:lineRule="auto"/>
        <w:jc w:val="both"/>
        <w:rPr>
          <w:sz w:val="23"/>
          <w:szCs w:val="23"/>
        </w:rPr>
      </w:pPr>
    </w:p>
    <w:p w14:paraId="7FE220AE" w14:textId="77777777" w:rsidR="002C7859" w:rsidRDefault="002C7859" w:rsidP="002C7859">
      <w:pPr>
        <w:pStyle w:val="ListParagraph"/>
        <w:spacing w:after="0" w:line="240" w:lineRule="auto"/>
        <w:jc w:val="both"/>
      </w:pPr>
    </w:p>
    <w:p w14:paraId="210CBD15" w14:textId="494E9F0E" w:rsidR="002C7859" w:rsidRPr="00C9033C" w:rsidRDefault="002C7859" w:rsidP="00795744">
      <w:pPr>
        <w:pStyle w:val="ListParagraph"/>
        <w:numPr>
          <w:ilvl w:val="0"/>
          <w:numId w:val="18"/>
        </w:numPr>
        <w:spacing w:after="0" w:line="240" w:lineRule="auto"/>
        <w:ind w:left="567" w:hanging="567"/>
        <w:jc w:val="both"/>
      </w:pPr>
      <w:r w:rsidRPr="00CF4A30">
        <w:t>For all the reviews completed to date, management have accepted all the findings and the agreed actions in these reports will be followed up and reported on at future meetings of this committee</w:t>
      </w:r>
      <w:r w:rsidRPr="00C026FB">
        <w:rPr>
          <w:sz w:val="23"/>
          <w:szCs w:val="23"/>
        </w:rPr>
        <w:t>.</w:t>
      </w:r>
    </w:p>
    <w:p w14:paraId="6838C97B" w14:textId="497644B4" w:rsidR="00C9033C" w:rsidRDefault="00C9033C" w:rsidP="00C9033C">
      <w:pPr>
        <w:spacing w:after="0" w:line="240" w:lineRule="auto"/>
        <w:jc w:val="both"/>
      </w:pPr>
    </w:p>
    <w:p w14:paraId="593689C7" w14:textId="2856EF67" w:rsidR="00C9033C" w:rsidRPr="00C9033C" w:rsidRDefault="00C9033C" w:rsidP="00C9033C">
      <w:pPr>
        <w:spacing w:after="0" w:line="240" w:lineRule="auto"/>
        <w:jc w:val="both"/>
        <w:rPr>
          <w:b/>
          <w:bCs/>
        </w:rPr>
      </w:pPr>
      <w:r w:rsidRPr="00C9033C">
        <w:rPr>
          <w:b/>
          <w:bCs/>
        </w:rPr>
        <w:t>Amendments to the Audit Plan</w:t>
      </w:r>
    </w:p>
    <w:p w14:paraId="75308DD4" w14:textId="122FE132" w:rsidR="005B62C8" w:rsidRPr="00C9033C" w:rsidRDefault="005B62C8" w:rsidP="005B62C8">
      <w:pPr>
        <w:spacing w:after="0" w:line="240" w:lineRule="auto"/>
        <w:jc w:val="both"/>
        <w:rPr>
          <w:b/>
          <w:bCs/>
        </w:rPr>
      </w:pPr>
    </w:p>
    <w:p w14:paraId="51DEE7F8" w14:textId="3A2BBA8A" w:rsidR="005B62C8" w:rsidRDefault="00622B7A" w:rsidP="00622B7A">
      <w:pPr>
        <w:pStyle w:val="ListParagraph"/>
        <w:numPr>
          <w:ilvl w:val="0"/>
          <w:numId w:val="20"/>
        </w:numPr>
        <w:spacing w:after="0" w:line="240" w:lineRule="auto"/>
        <w:ind w:left="567" w:hanging="567"/>
        <w:jc w:val="both"/>
      </w:pPr>
      <w:r>
        <w:t xml:space="preserve">As highlighted in the Audit Plan </w:t>
      </w:r>
      <w:r w:rsidR="00E13285">
        <w:t xml:space="preserve">October to March 24 report, there has been a </w:t>
      </w:r>
      <w:r w:rsidR="006475D9">
        <w:t xml:space="preserve">recent </w:t>
      </w:r>
      <w:r w:rsidR="00E13285">
        <w:t>change in the level of audit resource.   This has not only impacted upon the plan going forwards but also there has been a small impact upon the current plan of April to September.    As a result, we are seeking the approval of the Committee to defer two separate reviews</w:t>
      </w:r>
      <w:r w:rsidR="00A42807">
        <w:t>, listed below.</w:t>
      </w:r>
      <w:r w:rsidR="00E13285">
        <w:t xml:space="preserve">   These have been selected based upon the skills of the team and the level of risks within each review.   If approved for deferral, both reviews will be considered again within the risk assessment.  </w:t>
      </w:r>
    </w:p>
    <w:p w14:paraId="0E5B6946" w14:textId="2D352EBA" w:rsidR="00E13285" w:rsidRDefault="00E13285" w:rsidP="00E13285">
      <w:pPr>
        <w:spacing w:after="0" w:line="240" w:lineRule="auto"/>
        <w:jc w:val="both"/>
      </w:pPr>
    </w:p>
    <w:p w14:paraId="6C4E63A5" w14:textId="07B1C278" w:rsidR="00E13285" w:rsidRDefault="00E13285" w:rsidP="00E13285">
      <w:pPr>
        <w:pStyle w:val="ListParagraph"/>
        <w:numPr>
          <w:ilvl w:val="0"/>
          <w:numId w:val="21"/>
        </w:numPr>
        <w:spacing w:after="0" w:line="240" w:lineRule="auto"/>
        <w:ind w:firstLine="414"/>
        <w:jc w:val="both"/>
      </w:pPr>
      <w:r>
        <w:t>Capita Migration – 10 days</w:t>
      </w:r>
    </w:p>
    <w:p w14:paraId="1B1683C2" w14:textId="61FDC159" w:rsidR="005B62C8" w:rsidRDefault="00E13285" w:rsidP="00E13285">
      <w:pPr>
        <w:pStyle w:val="ListParagraph"/>
        <w:numPr>
          <w:ilvl w:val="0"/>
          <w:numId w:val="21"/>
        </w:numPr>
        <w:spacing w:after="0" w:line="240" w:lineRule="auto"/>
        <w:ind w:left="786" w:firstLine="348"/>
        <w:jc w:val="both"/>
      </w:pPr>
      <w:r>
        <w:t>Closed Graveyards – 15 days.</w:t>
      </w:r>
    </w:p>
    <w:p w14:paraId="7BFA45D4" w14:textId="77777777" w:rsidR="005B62C8" w:rsidRPr="00192BB1" w:rsidRDefault="005B62C8" w:rsidP="005B62C8">
      <w:pPr>
        <w:spacing w:after="0" w:line="240" w:lineRule="auto"/>
        <w:jc w:val="both"/>
      </w:pPr>
    </w:p>
    <w:p w14:paraId="1B57A360" w14:textId="497452F8" w:rsidR="00192BB1" w:rsidRDefault="00192BB1" w:rsidP="00192BB1">
      <w:pPr>
        <w:spacing w:after="0" w:line="240" w:lineRule="auto"/>
        <w:jc w:val="both"/>
      </w:pPr>
    </w:p>
    <w:p w14:paraId="233640CD" w14:textId="3ADAE4E4" w:rsidR="00192BB1" w:rsidRDefault="00192BB1" w:rsidP="00192BB1">
      <w:pPr>
        <w:pStyle w:val="Heading2"/>
        <w:rPr>
          <w:rFonts w:asciiTheme="majorHAnsi" w:hAnsiTheme="majorHAnsi" w:cstheme="majorHAnsi"/>
          <w:szCs w:val="22"/>
        </w:rPr>
      </w:pPr>
      <w:r>
        <w:rPr>
          <w:rFonts w:asciiTheme="majorHAnsi" w:hAnsiTheme="majorHAnsi" w:cstheme="majorHAnsi"/>
          <w:szCs w:val="22"/>
        </w:rPr>
        <w:t>Follow up of reports with limited assurance.</w:t>
      </w:r>
    </w:p>
    <w:p w14:paraId="7A8BC568" w14:textId="5F212B07" w:rsidR="00506D5E" w:rsidRDefault="00506D5E" w:rsidP="00192BB1">
      <w:pPr>
        <w:pStyle w:val="Heading2"/>
        <w:rPr>
          <w:rFonts w:asciiTheme="majorHAnsi" w:hAnsiTheme="majorHAnsi" w:cstheme="majorHAnsi"/>
          <w:szCs w:val="22"/>
        </w:rPr>
      </w:pPr>
    </w:p>
    <w:p w14:paraId="167C9C50" w14:textId="53C69AB2" w:rsidR="00506D5E" w:rsidRDefault="00506D5E" w:rsidP="005B62C8">
      <w:pPr>
        <w:pStyle w:val="Heading2"/>
        <w:numPr>
          <w:ilvl w:val="0"/>
          <w:numId w:val="20"/>
        </w:numPr>
        <w:ind w:left="567" w:hanging="567"/>
        <w:rPr>
          <w:rFonts w:asciiTheme="majorHAnsi" w:hAnsiTheme="majorHAnsi" w:cstheme="majorHAnsi"/>
          <w:b w:val="0"/>
          <w:bCs w:val="0"/>
          <w:szCs w:val="22"/>
        </w:rPr>
      </w:pPr>
      <w:r w:rsidRPr="00506D5E">
        <w:rPr>
          <w:rFonts w:asciiTheme="majorHAnsi" w:hAnsiTheme="majorHAnsi" w:cstheme="majorHAnsi"/>
          <w:b w:val="0"/>
          <w:bCs w:val="0"/>
          <w:szCs w:val="22"/>
        </w:rPr>
        <w:t>At the meeting in August, members requested an update on agreed audit actions emanating from reports with a limited assurance rating.  The table below sets out the position for each report.</w:t>
      </w:r>
    </w:p>
    <w:p w14:paraId="052980F9" w14:textId="24458FEC" w:rsidR="00780F98" w:rsidRDefault="00780F98" w:rsidP="00780F98">
      <w:pPr>
        <w:pStyle w:val="Heading2"/>
        <w:rPr>
          <w:rFonts w:asciiTheme="majorHAnsi" w:hAnsiTheme="majorHAnsi" w:cstheme="majorHAnsi"/>
          <w:b w:val="0"/>
          <w:bCs w:val="0"/>
          <w:szCs w:val="22"/>
        </w:rPr>
      </w:pPr>
    </w:p>
    <w:p w14:paraId="1BAF24CE" w14:textId="2923C509" w:rsidR="00780F98" w:rsidRDefault="00780F98" w:rsidP="00780F98">
      <w:pPr>
        <w:pStyle w:val="Heading2"/>
        <w:rPr>
          <w:rFonts w:asciiTheme="majorHAnsi" w:hAnsiTheme="majorHAnsi" w:cstheme="majorHAnsi"/>
          <w:b w:val="0"/>
          <w:bCs w:val="0"/>
          <w:szCs w:val="22"/>
        </w:rPr>
      </w:pPr>
    </w:p>
    <w:p w14:paraId="5C4AA7B6" w14:textId="3710C8DC" w:rsidR="00780F98" w:rsidRDefault="00780F98" w:rsidP="00780F98">
      <w:pPr>
        <w:pStyle w:val="Heading2"/>
        <w:rPr>
          <w:rFonts w:asciiTheme="majorHAnsi" w:hAnsiTheme="majorHAnsi" w:cstheme="majorHAnsi"/>
          <w:b w:val="0"/>
          <w:bCs w:val="0"/>
          <w:szCs w:val="22"/>
        </w:rPr>
      </w:pPr>
    </w:p>
    <w:p w14:paraId="19F66E4D" w14:textId="1DF2334D" w:rsidR="00780F98" w:rsidRDefault="00780F98" w:rsidP="00780F98">
      <w:pPr>
        <w:pStyle w:val="Heading2"/>
        <w:rPr>
          <w:rFonts w:asciiTheme="majorHAnsi" w:hAnsiTheme="majorHAnsi" w:cstheme="majorHAnsi"/>
          <w:b w:val="0"/>
          <w:bCs w:val="0"/>
          <w:szCs w:val="22"/>
        </w:rPr>
      </w:pPr>
    </w:p>
    <w:p w14:paraId="6FA6D4B5" w14:textId="6E3B0562" w:rsidR="00780F98" w:rsidRDefault="00780F98" w:rsidP="00780F98">
      <w:pPr>
        <w:pStyle w:val="Heading2"/>
        <w:rPr>
          <w:rFonts w:asciiTheme="majorHAnsi" w:hAnsiTheme="majorHAnsi" w:cstheme="majorHAnsi"/>
          <w:b w:val="0"/>
          <w:bCs w:val="0"/>
          <w:szCs w:val="22"/>
        </w:rPr>
      </w:pPr>
    </w:p>
    <w:p w14:paraId="694A7483" w14:textId="6864C5CA" w:rsidR="00780F98" w:rsidRDefault="00780F98" w:rsidP="00780F98">
      <w:pPr>
        <w:pStyle w:val="Heading2"/>
        <w:rPr>
          <w:rFonts w:asciiTheme="majorHAnsi" w:hAnsiTheme="majorHAnsi" w:cstheme="majorHAnsi"/>
          <w:b w:val="0"/>
          <w:bCs w:val="0"/>
          <w:szCs w:val="22"/>
        </w:rPr>
      </w:pPr>
    </w:p>
    <w:p w14:paraId="7D04CE6A" w14:textId="3C6FB843" w:rsidR="00780F98" w:rsidRDefault="00780F98" w:rsidP="00780F98">
      <w:pPr>
        <w:pStyle w:val="Heading2"/>
        <w:rPr>
          <w:rFonts w:asciiTheme="majorHAnsi" w:hAnsiTheme="majorHAnsi" w:cstheme="majorHAnsi"/>
          <w:b w:val="0"/>
          <w:bCs w:val="0"/>
          <w:szCs w:val="22"/>
        </w:rPr>
      </w:pPr>
    </w:p>
    <w:p w14:paraId="24FCB0A4" w14:textId="0D11564D" w:rsidR="00780F98" w:rsidRDefault="00780F98" w:rsidP="00780F98">
      <w:pPr>
        <w:pStyle w:val="Heading2"/>
        <w:rPr>
          <w:rFonts w:asciiTheme="majorHAnsi" w:hAnsiTheme="majorHAnsi" w:cstheme="majorHAnsi"/>
          <w:b w:val="0"/>
          <w:bCs w:val="0"/>
          <w:szCs w:val="22"/>
        </w:rPr>
      </w:pPr>
    </w:p>
    <w:tbl>
      <w:tblPr>
        <w:tblStyle w:val="TableGrid"/>
        <w:tblW w:w="0" w:type="auto"/>
        <w:tblInd w:w="-5" w:type="dxa"/>
        <w:tblLook w:val="04A0" w:firstRow="1" w:lastRow="0" w:firstColumn="1" w:lastColumn="0" w:noHBand="0" w:noVBand="1"/>
      </w:tblPr>
      <w:tblGrid>
        <w:gridCol w:w="1985"/>
        <w:gridCol w:w="1843"/>
        <w:gridCol w:w="1559"/>
        <w:gridCol w:w="1843"/>
        <w:gridCol w:w="1701"/>
      </w:tblGrid>
      <w:tr w:rsidR="00120E65" w14:paraId="20FFAB9F" w14:textId="77777777" w:rsidTr="00120E65">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C157B6" w14:textId="724865FC" w:rsidR="00120E65" w:rsidRPr="008A31BC" w:rsidRDefault="00120E65" w:rsidP="00506D5E">
            <w:pPr>
              <w:pStyle w:val="Heading2"/>
              <w:ind w:left="0" w:firstLine="0"/>
              <w:outlineLvl w:val="1"/>
              <w:rPr>
                <w:rFonts w:asciiTheme="majorHAnsi" w:hAnsiTheme="majorHAnsi" w:cstheme="majorHAnsi"/>
                <w:szCs w:val="22"/>
              </w:rPr>
            </w:pPr>
            <w:bookmarkStart w:id="0" w:name="_Hlk145329177"/>
            <w:bookmarkStart w:id="1" w:name="_Hlk145336450"/>
            <w:r w:rsidRPr="008A31BC">
              <w:rPr>
                <w:rFonts w:asciiTheme="majorHAnsi" w:hAnsiTheme="majorHAnsi" w:cstheme="majorHAnsi"/>
                <w:szCs w:val="22"/>
              </w:rPr>
              <w:lastRenderedPageBreak/>
              <w:t>Name of Review</w:t>
            </w:r>
          </w:p>
        </w:tc>
        <w:tc>
          <w:tcPr>
            <w:tcW w:w="1843" w:type="dxa"/>
            <w:tcBorders>
              <w:top w:val="single" w:sz="4" w:space="0" w:color="auto"/>
              <w:left w:val="single" w:sz="4" w:space="0" w:color="auto"/>
              <w:bottom w:val="single" w:sz="4" w:space="0" w:color="auto"/>
              <w:right w:val="single" w:sz="24" w:space="0" w:color="auto"/>
            </w:tcBorders>
            <w:shd w:val="clear" w:color="auto" w:fill="C6D9F1" w:themeFill="text2" w:themeFillTint="33"/>
          </w:tcPr>
          <w:p w14:paraId="704E8DB2" w14:textId="2C4ED7D3" w:rsidR="00120E65" w:rsidRPr="008A31BC" w:rsidRDefault="00120E65" w:rsidP="00506D5E">
            <w:pPr>
              <w:pStyle w:val="Heading2"/>
              <w:ind w:left="0" w:firstLine="0"/>
              <w:outlineLvl w:val="1"/>
              <w:rPr>
                <w:rFonts w:asciiTheme="majorHAnsi" w:hAnsiTheme="majorHAnsi" w:cstheme="majorHAnsi"/>
                <w:szCs w:val="22"/>
              </w:rPr>
            </w:pPr>
            <w:r w:rsidRPr="008A31BC">
              <w:rPr>
                <w:rFonts w:asciiTheme="majorHAnsi" w:hAnsiTheme="majorHAnsi" w:cstheme="majorHAnsi"/>
                <w:szCs w:val="22"/>
              </w:rPr>
              <w:t xml:space="preserve">Total number of </w:t>
            </w:r>
            <w:r>
              <w:rPr>
                <w:rFonts w:asciiTheme="majorHAnsi" w:hAnsiTheme="majorHAnsi" w:cstheme="majorHAnsi"/>
                <w:szCs w:val="22"/>
              </w:rPr>
              <w:t xml:space="preserve">agreed </w:t>
            </w:r>
            <w:r w:rsidRPr="008A31BC">
              <w:rPr>
                <w:rFonts w:asciiTheme="majorHAnsi" w:hAnsiTheme="majorHAnsi" w:cstheme="majorHAnsi"/>
                <w:szCs w:val="22"/>
              </w:rPr>
              <w:t>actions</w:t>
            </w:r>
          </w:p>
        </w:tc>
        <w:tc>
          <w:tcPr>
            <w:tcW w:w="1559" w:type="dxa"/>
            <w:tcBorders>
              <w:top w:val="single" w:sz="4" w:space="0" w:color="auto"/>
              <w:left w:val="single" w:sz="24" w:space="0" w:color="auto"/>
              <w:bottom w:val="single" w:sz="4" w:space="0" w:color="auto"/>
            </w:tcBorders>
            <w:shd w:val="clear" w:color="auto" w:fill="C6D9F1" w:themeFill="text2" w:themeFillTint="33"/>
          </w:tcPr>
          <w:p w14:paraId="109EE8CB" w14:textId="53D4A8CC" w:rsidR="00120E65" w:rsidRPr="008A31BC" w:rsidRDefault="00120E65" w:rsidP="00506D5E">
            <w:pPr>
              <w:pStyle w:val="Heading2"/>
              <w:ind w:left="0" w:firstLine="0"/>
              <w:outlineLvl w:val="1"/>
              <w:rPr>
                <w:rFonts w:asciiTheme="majorHAnsi" w:hAnsiTheme="majorHAnsi" w:cstheme="majorHAnsi"/>
                <w:szCs w:val="22"/>
              </w:rPr>
            </w:pPr>
            <w:r w:rsidRPr="008A31BC">
              <w:rPr>
                <w:rFonts w:asciiTheme="majorHAnsi" w:hAnsiTheme="majorHAnsi" w:cstheme="majorHAnsi"/>
                <w:szCs w:val="22"/>
              </w:rPr>
              <w:t>Actions due by the end of August</w:t>
            </w:r>
          </w:p>
        </w:tc>
        <w:tc>
          <w:tcPr>
            <w:tcW w:w="1843" w:type="dxa"/>
            <w:tcBorders>
              <w:top w:val="single" w:sz="4" w:space="0" w:color="auto"/>
              <w:bottom w:val="single" w:sz="4" w:space="0" w:color="auto"/>
            </w:tcBorders>
            <w:shd w:val="clear" w:color="auto" w:fill="C6D9F1" w:themeFill="text2" w:themeFillTint="33"/>
          </w:tcPr>
          <w:p w14:paraId="3B55626D" w14:textId="08C1EF66" w:rsidR="00120E65" w:rsidRPr="008A31BC" w:rsidRDefault="00120E65" w:rsidP="00506D5E">
            <w:pPr>
              <w:pStyle w:val="Heading2"/>
              <w:ind w:left="0" w:firstLine="0"/>
              <w:outlineLvl w:val="1"/>
              <w:rPr>
                <w:rFonts w:asciiTheme="majorHAnsi" w:hAnsiTheme="majorHAnsi" w:cstheme="majorHAnsi"/>
                <w:szCs w:val="22"/>
              </w:rPr>
            </w:pPr>
            <w:r w:rsidRPr="008A31BC">
              <w:rPr>
                <w:rFonts w:asciiTheme="majorHAnsi" w:hAnsiTheme="majorHAnsi" w:cstheme="majorHAnsi"/>
                <w:szCs w:val="22"/>
              </w:rPr>
              <w:t>Total number implemented</w:t>
            </w:r>
          </w:p>
        </w:tc>
        <w:tc>
          <w:tcPr>
            <w:tcW w:w="1701" w:type="dxa"/>
            <w:tcBorders>
              <w:top w:val="single" w:sz="4" w:space="0" w:color="auto"/>
              <w:bottom w:val="single" w:sz="4" w:space="0" w:color="auto"/>
            </w:tcBorders>
            <w:shd w:val="clear" w:color="auto" w:fill="C6D9F1" w:themeFill="text2" w:themeFillTint="33"/>
          </w:tcPr>
          <w:p w14:paraId="55ADCFA8" w14:textId="3CE16F48" w:rsidR="00120E65" w:rsidRPr="008A31BC" w:rsidRDefault="00120E65" w:rsidP="00506D5E">
            <w:pPr>
              <w:pStyle w:val="Heading2"/>
              <w:ind w:left="0" w:firstLine="0"/>
              <w:outlineLvl w:val="1"/>
              <w:rPr>
                <w:rFonts w:asciiTheme="majorHAnsi" w:hAnsiTheme="majorHAnsi" w:cstheme="majorHAnsi"/>
                <w:szCs w:val="22"/>
              </w:rPr>
            </w:pPr>
            <w:r w:rsidRPr="008A31BC">
              <w:rPr>
                <w:rFonts w:asciiTheme="majorHAnsi" w:hAnsiTheme="majorHAnsi" w:cstheme="majorHAnsi"/>
                <w:szCs w:val="22"/>
              </w:rPr>
              <w:t>Actions in progress with revised dates</w:t>
            </w:r>
          </w:p>
        </w:tc>
      </w:tr>
      <w:tr w:rsidR="00120E65" w14:paraId="3868E9E7" w14:textId="77777777" w:rsidTr="00120E65">
        <w:tc>
          <w:tcPr>
            <w:tcW w:w="1985" w:type="dxa"/>
            <w:tcBorders>
              <w:top w:val="single" w:sz="4" w:space="0" w:color="auto"/>
              <w:left w:val="single" w:sz="4" w:space="0" w:color="auto"/>
              <w:bottom w:val="single" w:sz="4" w:space="0" w:color="auto"/>
              <w:right w:val="single" w:sz="4" w:space="0" w:color="auto"/>
            </w:tcBorders>
          </w:tcPr>
          <w:p w14:paraId="7BFDB74E" w14:textId="32574412" w:rsidR="00120E65" w:rsidRDefault="00120E65"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Review of Utilities Management</w:t>
            </w:r>
          </w:p>
          <w:p w14:paraId="0B67A6C4" w14:textId="5A68A7E4" w:rsidR="00120E65" w:rsidRDefault="00120E65" w:rsidP="00506D5E">
            <w:pPr>
              <w:pStyle w:val="Heading2"/>
              <w:ind w:left="0" w:firstLine="0"/>
              <w:outlineLvl w:val="1"/>
              <w:rPr>
                <w:rFonts w:asciiTheme="majorHAnsi" w:hAnsiTheme="majorHAnsi" w:cstheme="majorHAnsi"/>
                <w:b w:val="0"/>
                <w:bCs w:val="0"/>
                <w:szCs w:val="22"/>
              </w:rPr>
            </w:pPr>
          </w:p>
        </w:tc>
        <w:tc>
          <w:tcPr>
            <w:tcW w:w="1843" w:type="dxa"/>
            <w:tcBorders>
              <w:top w:val="single" w:sz="4" w:space="0" w:color="auto"/>
              <w:left w:val="single" w:sz="4" w:space="0" w:color="auto"/>
              <w:bottom w:val="single" w:sz="4" w:space="0" w:color="auto"/>
              <w:right w:val="single" w:sz="24" w:space="0" w:color="auto"/>
            </w:tcBorders>
          </w:tcPr>
          <w:p w14:paraId="227562EE" w14:textId="495B2718" w:rsidR="00120E65" w:rsidRDefault="00120E65"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12</w:t>
            </w:r>
          </w:p>
        </w:tc>
        <w:tc>
          <w:tcPr>
            <w:tcW w:w="1559" w:type="dxa"/>
            <w:tcBorders>
              <w:top w:val="single" w:sz="4" w:space="0" w:color="auto"/>
              <w:left w:val="single" w:sz="24" w:space="0" w:color="auto"/>
              <w:bottom w:val="single" w:sz="4" w:space="0" w:color="auto"/>
            </w:tcBorders>
          </w:tcPr>
          <w:p w14:paraId="0C610102" w14:textId="32089EF2" w:rsidR="00120E65" w:rsidRDefault="00120E65"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12</w:t>
            </w:r>
          </w:p>
        </w:tc>
        <w:tc>
          <w:tcPr>
            <w:tcW w:w="1843" w:type="dxa"/>
            <w:tcBorders>
              <w:top w:val="single" w:sz="4" w:space="0" w:color="auto"/>
              <w:bottom w:val="single" w:sz="4" w:space="0" w:color="auto"/>
            </w:tcBorders>
          </w:tcPr>
          <w:p w14:paraId="00705437" w14:textId="48F794F1" w:rsidR="00120E65" w:rsidRDefault="00120E65"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9</w:t>
            </w:r>
          </w:p>
        </w:tc>
        <w:tc>
          <w:tcPr>
            <w:tcW w:w="1701" w:type="dxa"/>
            <w:tcBorders>
              <w:top w:val="single" w:sz="4" w:space="0" w:color="auto"/>
              <w:bottom w:val="single" w:sz="4" w:space="0" w:color="auto"/>
            </w:tcBorders>
          </w:tcPr>
          <w:p w14:paraId="705B7514" w14:textId="5D19B77E" w:rsidR="00120E65" w:rsidRDefault="00120E65"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3</w:t>
            </w:r>
          </w:p>
        </w:tc>
      </w:tr>
      <w:tr w:rsidR="00120E65" w14:paraId="168B092A" w14:textId="77777777" w:rsidTr="00120E65">
        <w:tc>
          <w:tcPr>
            <w:tcW w:w="1985" w:type="dxa"/>
            <w:tcBorders>
              <w:top w:val="single" w:sz="4" w:space="0" w:color="auto"/>
              <w:left w:val="single" w:sz="4" w:space="0" w:color="auto"/>
              <w:bottom w:val="single" w:sz="4" w:space="0" w:color="auto"/>
              <w:right w:val="single" w:sz="4" w:space="0" w:color="auto"/>
            </w:tcBorders>
          </w:tcPr>
          <w:p w14:paraId="6EF992A1" w14:textId="77777777" w:rsidR="00120E65" w:rsidRDefault="00120E65" w:rsidP="00506D5E">
            <w:pPr>
              <w:pStyle w:val="Heading2"/>
              <w:ind w:left="0" w:firstLine="0"/>
              <w:outlineLvl w:val="1"/>
              <w:rPr>
                <w:rFonts w:asciiTheme="majorHAnsi" w:hAnsiTheme="majorHAnsi" w:cstheme="majorHAnsi"/>
                <w:b w:val="0"/>
                <w:bCs w:val="0"/>
                <w:szCs w:val="22"/>
              </w:rPr>
            </w:pPr>
            <w:bookmarkStart w:id="2" w:name="_Hlk145329126"/>
            <w:r>
              <w:rPr>
                <w:rFonts w:asciiTheme="majorHAnsi" w:hAnsiTheme="majorHAnsi" w:cstheme="majorHAnsi"/>
                <w:b w:val="0"/>
                <w:bCs w:val="0"/>
                <w:szCs w:val="22"/>
              </w:rPr>
              <w:t>Review of Waste Management</w:t>
            </w:r>
          </w:p>
          <w:p w14:paraId="2BE20E4C" w14:textId="58DB452C" w:rsidR="00120E65" w:rsidRDefault="00120E65" w:rsidP="00506D5E">
            <w:pPr>
              <w:pStyle w:val="Heading2"/>
              <w:ind w:left="0" w:firstLine="0"/>
              <w:outlineLvl w:val="1"/>
              <w:rPr>
                <w:rFonts w:asciiTheme="majorHAnsi" w:hAnsiTheme="majorHAnsi" w:cstheme="majorHAnsi"/>
                <w:b w:val="0"/>
                <w:bCs w:val="0"/>
                <w:szCs w:val="22"/>
              </w:rPr>
            </w:pPr>
          </w:p>
        </w:tc>
        <w:tc>
          <w:tcPr>
            <w:tcW w:w="1843" w:type="dxa"/>
            <w:tcBorders>
              <w:top w:val="single" w:sz="4" w:space="0" w:color="auto"/>
              <w:left w:val="single" w:sz="4" w:space="0" w:color="auto"/>
              <w:bottom w:val="single" w:sz="4" w:space="0" w:color="auto"/>
              <w:right w:val="single" w:sz="24" w:space="0" w:color="auto"/>
            </w:tcBorders>
          </w:tcPr>
          <w:p w14:paraId="1A4B491C" w14:textId="1D6629BB" w:rsidR="00120E65" w:rsidRDefault="00120E65"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16</w:t>
            </w:r>
          </w:p>
        </w:tc>
        <w:tc>
          <w:tcPr>
            <w:tcW w:w="1559" w:type="dxa"/>
            <w:tcBorders>
              <w:top w:val="single" w:sz="4" w:space="0" w:color="auto"/>
              <w:left w:val="single" w:sz="24" w:space="0" w:color="auto"/>
              <w:bottom w:val="single" w:sz="4" w:space="0" w:color="auto"/>
            </w:tcBorders>
          </w:tcPr>
          <w:p w14:paraId="5540864C" w14:textId="1DE167EC" w:rsidR="00120E65" w:rsidRDefault="00120E65"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14</w:t>
            </w:r>
          </w:p>
        </w:tc>
        <w:tc>
          <w:tcPr>
            <w:tcW w:w="1843" w:type="dxa"/>
            <w:tcBorders>
              <w:top w:val="single" w:sz="4" w:space="0" w:color="auto"/>
              <w:bottom w:val="single" w:sz="4" w:space="0" w:color="auto"/>
            </w:tcBorders>
          </w:tcPr>
          <w:p w14:paraId="276CE442" w14:textId="56B6EE0C" w:rsidR="00120E65" w:rsidRDefault="00120E65"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12</w:t>
            </w:r>
          </w:p>
        </w:tc>
        <w:tc>
          <w:tcPr>
            <w:tcW w:w="1701" w:type="dxa"/>
            <w:tcBorders>
              <w:top w:val="single" w:sz="4" w:space="0" w:color="auto"/>
              <w:bottom w:val="single" w:sz="4" w:space="0" w:color="auto"/>
            </w:tcBorders>
          </w:tcPr>
          <w:p w14:paraId="177D78DE" w14:textId="513F23C0" w:rsidR="00120E65" w:rsidRDefault="00120E65"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2</w:t>
            </w:r>
          </w:p>
        </w:tc>
      </w:tr>
      <w:tr w:rsidR="00120E65" w14:paraId="02D895D1" w14:textId="77777777" w:rsidTr="00120E65">
        <w:tc>
          <w:tcPr>
            <w:tcW w:w="1985" w:type="dxa"/>
            <w:tcBorders>
              <w:top w:val="single" w:sz="4" w:space="0" w:color="auto"/>
              <w:left w:val="single" w:sz="4" w:space="0" w:color="auto"/>
              <w:bottom w:val="single" w:sz="4" w:space="0" w:color="auto"/>
              <w:right w:val="single" w:sz="4" w:space="0" w:color="auto"/>
            </w:tcBorders>
          </w:tcPr>
          <w:p w14:paraId="4BCE70E5" w14:textId="77777777" w:rsidR="00120E65" w:rsidRDefault="00120E65"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Review of Open Water</w:t>
            </w:r>
          </w:p>
          <w:p w14:paraId="6EEB4B73" w14:textId="65E2E094" w:rsidR="00120E65" w:rsidRDefault="00120E65" w:rsidP="00506D5E">
            <w:pPr>
              <w:pStyle w:val="Heading2"/>
              <w:ind w:left="0" w:firstLine="0"/>
              <w:outlineLvl w:val="1"/>
              <w:rPr>
                <w:rFonts w:asciiTheme="majorHAnsi" w:hAnsiTheme="majorHAnsi" w:cstheme="majorHAnsi"/>
                <w:b w:val="0"/>
                <w:bCs w:val="0"/>
                <w:szCs w:val="22"/>
              </w:rPr>
            </w:pPr>
          </w:p>
        </w:tc>
        <w:tc>
          <w:tcPr>
            <w:tcW w:w="1843" w:type="dxa"/>
            <w:tcBorders>
              <w:top w:val="single" w:sz="4" w:space="0" w:color="auto"/>
              <w:left w:val="single" w:sz="4" w:space="0" w:color="auto"/>
              <w:bottom w:val="single" w:sz="4" w:space="0" w:color="auto"/>
              <w:right w:val="single" w:sz="24" w:space="0" w:color="auto"/>
            </w:tcBorders>
          </w:tcPr>
          <w:p w14:paraId="53BA67A6" w14:textId="4E70B74A" w:rsidR="00120E65" w:rsidRDefault="00120E65"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11</w:t>
            </w:r>
          </w:p>
        </w:tc>
        <w:tc>
          <w:tcPr>
            <w:tcW w:w="1559" w:type="dxa"/>
            <w:tcBorders>
              <w:top w:val="single" w:sz="4" w:space="0" w:color="auto"/>
              <w:left w:val="single" w:sz="24" w:space="0" w:color="auto"/>
              <w:bottom w:val="single" w:sz="4" w:space="0" w:color="auto"/>
            </w:tcBorders>
          </w:tcPr>
          <w:p w14:paraId="3127224C" w14:textId="55347756" w:rsidR="00120E65" w:rsidRDefault="00120E65"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7</w:t>
            </w:r>
          </w:p>
        </w:tc>
        <w:tc>
          <w:tcPr>
            <w:tcW w:w="1843" w:type="dxa"/>
            <w:tcBorders>
              <w:top w:val="single" w:sz="4" w:space="0" w:color="auto"/>
              <w:bottom w:val="single" w:sz="4" w:space="0" w:color="auto"/>
            </w:tcBorders>
          </w:tcPr>
          <w:p w14:paraId="455B9307" w14:textId="58D2F5D5" w:rsidR="00120E65" w:rsidRDefault="00120E65"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3</w:t>
            </w:r>
          </w:p>
        </w:tc>
        <w:tc>
          <w:tcPr>
            <w:tcW w:w="1701" w:type="dxa"/>
            <w:tcBorders>
              <w:top w:val="single" w:sz="4" w:space="0" w:color="auto"/>
              <w:bottom w:val="single" w:sz="4" w:space="0" w:color="auto"/>
            </w:tcBorders>
          </w:tcPr>
          <w:p w14:paraId="65245014" w14:textId="302DD32F" w:rsidR="00120E65" w:rsidRDefault="00120E65"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4</w:t>
            </w:r>
          </w:p>
        </w:tc>
      </w:tr>
      <w:bookmarkEnd w:id="2"/>
      <w:bookmarkEnd w:id="0"/>
      <w:tr w:rsidR="00120E65" w14:paraId="4690D437" w14:textId="77777777" w:rsidTr="00120E65">
        <w:tc>
          <w:tcPr>
            <w:tcW w:w="1985" w:type="dxa"/>
            <w:tcBorders>
              <w:top w:val="single" w:sz="4" w:space="0" w:color="auto"/>
              <w:left w:val="single" w:sz="4" w:space="0" w:color="auto"/>
              <w:bottom w:val="single" w:sz="4" w:space="0" w:color="auto"/>
              <w:right w:val="single" w:sz="4" w:space="0" w:color="auto"/>
            </w:tcBorders>
          </w:tcPr>
          <w:p w14:paraId="46B6B390" w14:textId="77777777" w:rsidR="00120E65" w:rsidRPr="005A4E40" w:rsidRDefault="00120E65" w:rsidP="00506D5E">
            <w:pPr>
              <w:pStyle w:val="Heading2"/>
              <w:ind w:left="0" w:firstLine="0"/>
              <w:outlineLvl w:val="1"/>
              <w:rPr>
                <w:rFonts w:asciiTheme="majorHAnsi" w:hAnsiTheme="majorHAnsi" w:cstheme="majorHAnsi"/>
                <w:b w:val="0"/>
                <w:bCs w:val="0"/>
                <w:color w:val="000000" w:themeColor="text1"/>
                <w:szCs w:val="22"/>
              </w:rPr>
            </w:pPr>
            <w:r w:rsidRPr="005A4E40">
              <w:rPr>
                <w:rFonts w:asciiTheme="majorHAnsi" w:hAnsiTheme="majorHAnsi" w:cstheme="majorHAnsi"/>
                <w:b w:val="0"/>
                <w:bCs w:val="0"/>
                <w:color w:val="000000" w:themeColor="text1"/>
                <w:szCs w:val="22"/>
              </w:rPr>
              <w:t>Review of GDPR</w:t>
            </w:r>
          </w:p>
          <w:p w14:paraId="49F832FD" w14:textId="532ED538" w:rsidR="00780F98" w:rsidRPr="005A4E40" w:rsidRDefault="00780F98" w:rsidP="00506D5E">
            <w:pPr>
              <w:pStyle w:val="Heading2"/>
              <w:ind w:left="0" w:firstLine="0"/>
              <w:outlineLvl w:val="1"/>
              <w:rPr>
                <w:rFonts w:asciiTheme="majorHAnsi" w:hAnsiTheme="majorHAnsi" w:cstheme="majorHAnsi"/>
                <w:b w:val="0"/>
                <w:bCs w:val="0"/>
                <w:color w:val="000000" w:themeColor="text1"/>
                <w:szCs w:val="22"/>
              </w:rPr>
            </w:pPr>
          </w:p>
        </w:tc>
        <w:tc>
          <w:tcPr>
            <w:tcW w:w="1843" w:type="dxa"/>
            <w:tcBorders>
              <w:top w:val="single" w:sz="4" w:space="0" w:color="auto"/>
              <w:left w:val="single" w:sz="4" w:space="0" w:color="auto"/>
              <w:bottom w:val="single" w:sz="4" w:space="0" w:color="auto"/>
              <w:right w:val="single" w:sz="24" w:space="0" w:color="auto"/>
            </w:tcBorders>
          </w:tcPr>
          <w:p w14:paraId="51C8F95D" w14:textId="6D2C4732" w:rsidR="00120E65" w:rsidRPr="005A4E40" w:rsidRDefault="00780F98" w:rsidP="00506D5E">
            <w:pPr>
              <w:pStyle w:val="Heading2"/>
              <w:ind w:left="0" w:firstLine="0"/>
              <w:outlineLvl w:val="1"/>
              <w:rPr>
                <w:rFonts w:asciiTheme="majorHAnsi" w:hAnsiTheme="majorHAnsi" w:cstheme="majorHAnsi"/>
                <w:b w:val="0"/>
                <w:bCs w:val="0"/>
                <w:color w:val="000000" w:themeColor="text1"/>
                <w:szCs w:val="22"/>
              </w:rPr>
            </w:pPr>
            <w:r w:rsidRPr="005A4E40">
              <w:rPr>
                <w:rFonts w:asciiTheme="majorHAnsi" w:hAnsiTheme="majorHAnsi" w:cstheme="majorHAnsi"/>
                <w:b w:val="0"/>
                <w:bCs w:val="0"/>
                <w:color w:val="000000" w:themeColor="text1"/>
                <w:szCs w:val="22"/>
              </w:rPr>
              <w:t>12</w:t>
            </w:r>
          </w:p>
        </w:tc>
        <w:tc>
          <w:tcPr>
            <w:tcW w:w="1559" w:type="dxa"/>
            <w:tcBorders>
              <w:top w:val="single" w:sz="4" w:space="0" w:color="auto"/>
              <w:left w:val="single" w:sz="24" w:space="0" w:color="auto"/>
              <w:bottom w:val="single" w:sz="4" w:space="0" w:color="auto"/>
            </w:tcBorders>
          </w:tcPr>
          <w:p w14:paraId="26135362" w14:textId="56B4306A" w:rsidR="00120E65" w:rsidRDefault="00780F98"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7</w:t>
            </w:r>
          </w:p>
        </w:tc>
        <w:tc>
          <w:tcPr>
            <w:tcW w:w="1843" w:type="dxa"/>
            <w:tcBorders>
              <w:top w:val="single" w:sz="4" w:space="0" w:color="auto"/>
              <w:bottom w:val="single" w:sz="4" w:space="0" w:color="auto"/>
            </w:tcBorders>
          </w:tcPr>
          <w:p w14:paraId="4E728DF9" w14:textId="0F94D95F" w:rsidR="00120E65" w:rsidRDefault="005A4E40"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5</w:t>
            </w:r>
          </w:p>
        </w:tc>
        <w:tc>
          <w:tcPr>
            <w:tcW w:w="1701" w:type="dxa"/>
            <w:tcBorders>
              <w:top w:val="single" w:sz="4" w:space="0" w:color="auto"/>
              <w:bottom w:val="single" w:sz="4" w:space="0" w:color="auto"/>
            </w:tcBorders>
          </w:tcPr>
          <w:p w14:paraId="1BBD6C37" w14:textId="5C63C0CA" w:rsidR="00120E65" w:rsidRDefault="005A4E40"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2</w:t>
            </w:r>
          </w:p>
        </w:tc>
      </w:tr>
      <w:tr w:rsidR="00780F98" w14:paraId="4734E480" w14:textId="77777777" w:rsidTr="00120E65">
        <w:tc>
          <w:tcPr>
            <w:tcW w:w="1985" w:type="dxa"/>
            <w:tcBorders>
              <w:top w:val="single" w:sz="4" w:space="0" w:color="auto"/>
              <w:left w:val="single" w:sz="4" w:space="0" w:color="auto"/>
              <w:bottom w:val="single" w:sz="4" w:space="0" w:color="auto"/>
              <w:right w:val="single" w:sz="4" w:space="0" w:color="auto"/>
            </w:tcBorders>
          </w:tcPr>
          <w:p w14:paraId="5170C0DA" w14:textId="64713904" w:rsidR="00780F98" w:rsidRPr="005A4E40" w:rsidRDefault="00780F98" w:rsidP="00506D5E">
            <w:pPr>
              <w:pStyle w:val="Heading2"/>
              <w:ind w:left="0" w:firstLine="0"/>
              <w:outlineLvl w:val="1"/>
              <w:rPr>
                <w:rFonts w:asciiTheme="majorHAnsi" w:hAnsiTheme="majorHAnsi" w:cstheme="majorHAnsi"/>
                <w:b w:val="0"/>
                <w:bCs w:val="0"/>
                <w:color w:val="000000" w:themeColor="text1"/>
                <w:szCs w:val="22"/>
              </w:rPr>
            </w:pPr>
            <w:r w:rsidRPr="005A4E40">
              <w:rPr>
                <w:rFonts w:asciiTheme="majorHAnsi" w:hAnsiTheme="majorHAnsi" w:cstheme="majorHAnsi"/>
                <w:b w:val="0"/>
                <w:bCs w:val="0"/>
                <w:color w:val="000000" w:themeColor="text1"/>
                <w:szCs w:val="22"/>
              </w:rPr>
              <w:t>Review of Commercial Directorate - Procurement</w:t>
            </w:r>
          </w:p>
        </w:tc>
        <w:tc>
          <w:tcPr>
            <w:tcW w:w="1843" w:type="dxa"/>
            <w:tcBorders>
              <w:top w:val="single" w:sz="4" w:space="0" w:color="auto"/>
              <w:left w:val="single" w:sz="4" w:space="0" w:color="auto"/>
              <w:bottom w:val="single" w:sz="4" w:space="0" w:color="auto"/>
              <w:right w:val="single" w:sz="24" w:space="0" w:color="auto"/>
            </w:tcBorders>
          </w:tcPr>
          <w:p w14:paraId="6DA33CA4" w14:textId="59B23809" w:rsidR="00780F98" w:rsidRPr="005A4E40" w:rsidRDefault="00780F98" w:rsidP="00506D5E">
            <w:pPr>
              <w:pStyle w:val="Heading2"/>
              <w:ind w:left="0" w:firstLine="0"/>
              <w:outlineLvl w:val="1"/>
              <w:rPr>
                <w:rFonts w:asciiTheme="majorHAnsi" w:hAnsiTheme="majorHAnsi" w:cstheme="majorHAnsi"/>
                <w:b w:val="0"/>
                <w:bCs w:val="0"/>
                <w:color w:val="000000" w:themeColor="text1"/>
                <w:szCs w:val="22"/>
              </w:rPr>
            </w:pPr>
            <w:r w:rsidRPr="005A4E40">
              <w:rPr>
                <w:rFonts w:asciiTheme="majorHAnsi" w:hAnsiTheme="majorHAnsi" w:cstheme="majorHAnsi"/>
                <w:b w:val="0"/>
                <w:bCs w:val="0"/>
                <w:color w:val="000000" w:themeColor="text1"/>
                <w:szCs w:val="22"/>
              </w:rPr>
              <w:t>5</w:t>
            </w:r>
          </w:p>
        </w:tc>
        <w:tc>
          <w:tcPr>
            <w:tcW w:w="1559" w:type="dxa"/>
            <w:tcBorders>
              <w:top w:val="single" w:sz="4" w:space="0" w:color="auto"/>
              <w:left w:val="single" w:sz="24" w:space="0" w:color="auto"/>
              <w:bottom w:val="single" w:sz="4" w:space="0" w:color="auto"/>
            </w:tcBorders>
          </w:tcPr>
          <w:p w14:paraId="2A5A4A6D" w14:textId="251C8FD5" w:rsidR="00780F98" w:rsidRDefault="00780F98"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5</w:t>
            </w:r>
          </w:p>
        </w:tc>
        <w:tc>
          <w:tcPr>
            <w:tcW w:w="1843" w:type="dxa"/>
            <w:tcBorders>
              <w:top w:val="single" w:sz="4" w:space="0" w:color="auto"/>
              <w:bottom w:val="single" w:sz="4" w:space="0" w:color="auto"/>
            </w:tcBorders>
          </w:tcPr>
          <w:p w14:paraId="64E61255" w14:textId="07083A41" w:rsidR="00780F98" w:rsidRDefault="005A4E40"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5</w:t>
            </w:r>
          </w:p>
        </w:tc>
        <w:tc>
          <w:tcPr>
            <w:tcW w:w="1701" w:type="dxa"/>
            <w:tcBorders>
              <w:top w:val="single" w:sz="4" w:space="0" w:color="auto"/>
              <w:bottom w:val="single" w:sz="4" w:space="0" w:color="auto"/>
            </w:tcBorders>
          </w:tcPr>
          <w:p w14:paraId="695A45CE" w14:textId="61AF8FE6" w:rsidR="00780F98" w:rsidRDefault="005A4E40" w:rsidP="00506D5E">
            <w:pPr>
              <w:pStyle w:val="Heading2"/>
              <w:ind w:left="0" w:firstLine="0"/>
              <w:outlineLvl w:val="1"/>
              <w:rPr>
                <w:rFonts w:asciiTheme="majorHAnsi" w:hAnsiTheme="majorHAnsi" w:cstheme="majorHAnsi"/>
                <w:b w:val="0"/>
                <w:bCs w:val="0"/>
                <w:szCs w:val="22"/>
              </w:rPr>
            </w:pPr>
            <w:r>
              <w:rPr>
                <w:rFonts w:asciiTheme="majorHAnsi" w:hAnsiTheme="majorHAnsi" w:cstheme="majorHAnsi"/>
                <w:b w:val="0"/>
                <w:bCs w:val="0"/>
                <w:szCs w:val="22"/>
              </w:rPr>
              <w:t>0</w:t>
            </w:r>
          </w:p>
        </w:tc>
      </w:tr>
      <w:bookmarkEnd w:id="1"/>
    </w:tbl>
    <w:p w14:paraId="70BDCF0F" w14:textId="77777777" w:rsidR="00192BB1" w:rsidRPr="00987877" w:rsidRDefault="00192BB1" w:rsidP="00192BB1">
      <w:pPr>
        <w:spacing w:after="0" w:line="240" w:lineRule="auto"/>
        <w:jc w:val="both"/>
      </w:pPr>
    </w:p>
    <w:p w14:paraId="00BE8A80" w14:textId="77777777" w:rsidR="002C7859" w:rsidRDefault="002C7859" w:rsidP="002C7859">
      <w:pPr>
        <w:pStyle w:val="Default"/>
        <w:ind w:left="720"/>
        <w:rPr>
          <w:rFonts w:asciiTheme="minorHAnsi" w:hAnsiTheme="minorHAnsi" w:cstheme="minorHAnsi"/>
          <w:sz w:val="22"/>
          <w:szCs w:val="22"/>
        </w:rPr>
      </w:pPr>
    </w:p>
    <w:p w14:paraId="28D408FF" w14:textId="5F89C580" w:rsidR="002C7859" w:rsidRDefault="002C7859" w:rsidP="002C7859">
      <w:pPr>
        <w:pStyle w:val="Heading2"/>
        <w:rPr>
          <w:rFonts w:asciiTheme="majorHAnsi" w:hAnsiTheme="majorHAnsi" w:cstheme="majorHAnsi"/>
          <w:szCs w:val="22"/>
        </w:rPr>
      </w:pPr>
      <w:r w:rsidRPr="005341A3">
        <w:rPr>
          <w:rFonts w:asciiTheme="majorHAnsi" w:hAnsiTheme="majorHAnsi" w:cstheme="majorHAnsi"/>
          <w:szCs w:val="22"/>
        </w:rPr>
        <w:t>Internal Audit Performance</w:t>
      </w:r>
    </w:p>
    <w:p w14:paraId="436A97EA" w14:textId="77777777" w:rsidR="00FD2A45" w:rsidRPr="005341A3" w:rsidRDefault="00FD2A45" w:rsidP="002C7859">
      <w:pPr>
        <w:pStyle w:val="Heading2"/>
        <w:rPr>
          <w:rFonts w:asciiTheme="majorHAnsi" w:hAnsiTheme="majorHAnsi" w:cstheme="majorHAnsi"/>
          <w:szCs w:val="22"/>
        </w:rPr>
      </w:pPr>
    </w:p>
    <w:p w14:paraId="6969F6D4" w14:textId="5F9D13CB" w:rsidR="002C7859" w:rsidRPr="009150F4" w:rsidRDefault="002C7859" w:rsidP="005B62C8">
      <w:pPr>
        <w:pStyle w:val="ListParagraph"/>
        <w:numPr>
          <w:ilvl w:val="0"/>
          <w:numId w:val="20"/>
        </w:numPr>
        <w:tabs>
          <w:tab w:val="left" w:pos="1843"/>
        </w:tabs>
        <w:spacing w:line="240" w:lineRule="auto"/>
        <w:ind w:left="426" w:hanging="426"/>
        <w:rPr>
          <w:rFonts w:cstheme="minorHAnsi"/>
        </w:rPr>
      </w:pPr>
      <w:r w:rsidRPr="00E2119C">
        <w:rPr>
          <w:b/>
        </w:rPr>
        <w:t xml:space="preserve">Appendix </w:t>
      </w:r>
      <w:r w:rsidR="00FD2A45">
        <w:rPr>
          <w:b/>
        </w:rPr>
        <w:t>E</w:t>
      </w:r>
      <w:r w:rsidRPr="00E2119C">
        <w:t xml:space="preserve"> </w:t>
      </w:r>
      <w:r w:rsidRPr="00011584">
        <w:rPr>
          <w:rFonts w:cs="Arial"/>
        </w:rPr>
        <w:t xml:space="preserve">provides information on Internal Audit performance as at </w:t>
      </w:r>
      <w:r>
        <w:rPr>
          <w:rFonts w:cs="Arial"/>
        </w:rPr>
        <w:t>30</w:t>
      </w:r>
      <w:r w:rsidRPr="009150F4">
        <w:rPr>
          <w:rFonts w:cs="Arial"/>
          <w:vertAlign w:val="superscript"/>
        </w:rPr>
        <w:t>th</w:t>
      </w:r>
      <w:r>
        <w:rPr>
          <w:rFonts w:cs="Arial"/>
        </w:rPr>
        <w:t xml:space="preserve"> June 202</w:t>
      </w:r>
      <w:r w:rsidR="00FD2A45">
        <w:rPr>
          <w:rFonts w:cs="Arial"/>
        </w:rPr>
        <w:t>3.</w:t>
      </w:r>
    </w:p>
    <w:p w14:paraId="212F0057" w14:textId="269A1AD8" w:rsidR="002C7859" w:rsidRDefault="002C7859" w:rsidP="002C7859">
      <w:pPr>
        <w:pStyle w:val="ListParagraph"/>
        <w:tabs>
          <w:tab w:val="left" w:pos="1843"/>
        </w:tabs>
        <w:spacing w:line="240" w:lineRule="auto"/>
        <w:ind w:left="426"/>
        <w:rPr>
          <w:rFonts w:cstheme="minorHAnsi"/>
        </w:rPr>
      </w:pPr>
      <w:r>
        <w:rPr>
          <w:rFonts w:cs="Arial"/>
        </w:rPr>
        <w:t xml:space="preserve">The majority of the indicators are on target as at the end of June with only the </w:t>
      </w:r>
      <w:r>
        <w:rPr>
          <w:rFonts w:cstheme="minorHAnsi"/>
        </w:rPr>
        <w:t>p</w:t>
      </w:r>
      <w:r w:rsidRPr="003401B8">
        <w:rPr>
          <w:rFonts w:cstheme="minorHAnsi"/>
        </w:rPr>
        <w:t>ercentage of agreed actions implemented by management</w:t>
      </w:r>
      <w:r>
        <w:rPr>
          <w:rFonts w:cstheme="minorHAnsi"/>
        </w:rPr>
        <w:t xml:space="preserve"> being lower than the agreed target.  Internal Audit have reviewed the outstanding actions and have concluded that many of these are currently in progress but are not at the stage of being fully implemented. </w:t>
      </w:r>
    </w:p>
    <w:p w14:paraId="232CD92E" w14:textId="77777777" w:rsidR="002C7859" w:rsidRDefault="002C7859" w:rsidP="002C7859">
      <w:pPr>
        <w:pStyle w:val="ListParagraph"/>
        <w:tabs>
          <w:tab w:val="left" w:pos="1843"/>
        </w:tabs>
        <w:rPr>
          <w:rFonts w:cstheme="minorHAnsi"/>
        </w:rPr>
      </w:pPr>
    </w:p>
    <w:p w14:paraId="63D17482" w14:textId="77777777" w:rsidR="007D215D" w:rsidRPr="004D17C5" w:rsidRDefault="007D215D" w:rsidP="004D17C5">
      <w:pPr>
        <w:pStyle w:val="ListParagraph"/>
        <w:ind w:left="0"/>
        <w:rPr>
          <w:rFonts w:asciiTheme="majorHAnsi" w:hAnsiTheme="majorHAnsi" w:cstheme="majorHAnsi"/>
          <w:b/>
          <w:bCs/>
          <w:color w:val="000000"/>
        </w:rPr>
      </w:pPr>
      <w:r w:rsidRPr="004D17C5">
        <w:rPr>
          <w:rFonts w:asciiTheme="majorHAnsi" w:hAnsiTheme="majorHAnsi" w:cstheme="majorHAnsi"/>
          <w:b/>
          <w:bCs/>
          <w:color w:val="000000"/>
        </w:rPr>
        <w:t>Public Sector Internal Audit Standards</w:t>
      </w:r>
    </w:p>
    <w:p w14:paraId="756F9862" w14:textId="77777777" w:rsidR="007D215D" w:rsidRDefault="007D215D" w:rsidP="007D215D">
      <w:pPr>
        <w:pStyle w:val="ListParagraph"/>
        <w:ind w:left="284"/>
        <w:rPr>
          <w:b/>
          <w:bCs/>
          <w:color w:val="000000"/>
          <w:sz w:val="23"/>
          <w:szCs w:val="23"/>
        </w:rPr>
      </w:pPr>
    </w:p>
    <w:p w14:paraId="5535DCCA" w14:textId="60365C7C" w:rsidR="007D215D" w:rsidRDefault="007D215D" w:rsidP="007D215D">
      <w:pPr>
        <w:pStyle w:val="ListParagraph"/>
        <w:numPr>
          <w:ilvl w:val="0"/>
          <w:numId w:val="20"/>
        </w:numPr>
        <w:spacing w:line="240" w:lineRule="auto"/>
        <w:ind w:left="567" w:hanging="567"/>
        <w:rPr>
          <w:color w:val="000000"/>
          <w:sz w:val="23"/>
          <w:szCs w:val="23"/>
        </w:rPr>
      </w:pPr>
      <w:r w:rsidRPr="00A70080">
        <w:rPr>
          <w:color w:val="000000"/>
          <w:sz w:val="23"/>
          <w:szCs w:val="23"/>
        </w:rPr>
        <w:t>In order</w:t>
      </w:r>
      <w:r>
        <w:rPr>
          <w:color w:val="000000"/>
          <w:sz w:val="23"/>
          <w:szCs w:val="23"/>
        </w:rPr>
        <w:t xml:space="preserve"> for members and senior </w:t>
      </w:r>
      <w:r w:rsidR="006475D9">
        <w:rPr>
          <w:color w:val="000000"/>
          <w:sz w:val="23"/>
          <w:szCs w:val="23"/>
        </w:rPr>
        <w:t xml:space="preserve">officers </w:t>
      </w:r>
      <w:r w:rsidR="006475D9" w:rsidRPr="00A70080">
        <w:rPr>
          <w:color w:val="000000"/>
          <w:sz w:val="23"/>
          <w:szCs w:val="23"/>
        </w:rPr>
        <w:t>to</w:t>
      </w:r>
      <w:r w:rsidRPr="00A70080">
        <w:rPr>
          <w:color w:val="000000"/>
          <w:sz w:val="23"/>
          <w:szCs w:val="23"/>
        </w:rPr>
        <w:t xml:space="preserve"> be able to place reliance on the Internal Audit Service and the </w:t>
      </w:r>
      <w:r>
        <w:rPr>
          <w:color w:val="000000"/>
          <w:sz w:val="23"/>
          <w:szCs w:val="23"/>
        </w:rPr>
        <w:t>annual audit opinion, the service  is required to conform with the Public Sector Internal Audit Standards (PSIAS).</w:t>
      </w:r>
    </w:p>
    <w:p w14:paraId="0E640E86" w14:textId="77777777" w:rsidR="007D215D" w:rsidRDefault="007D215D" w:rsidP="007D215D">
      <w:pPr>
        <w:pStyle w:val="ListParagraph"/>
        <w:ind w:left="644"/>
        <w:rPr>
          <w:color w:val="000000"/>
          <w:sz w:val="23"/>
          <w:szCs w:val="23"/>
        </w:rPr>
      </w:pPr>
    </w:p>
    <w:p w14:paraId="43FEC4A3" w14:textId="22332831" w:rsidR="007D215D" w:rsidRPr="007D215D" w:rsidRDefault="007D215D" w:rsidP="007D215D">
      <w:pPr>
        <w:pStyle w:val="ListParagraph"/>
        <w:numPr>
          <w:ilvl w:val="0"/>
          <w:numId w:val="20"/>
        </w:numPr>
        <w:spacing w:line="240" w:lineRule="auto"/>
        <w:ind w:left="567" w:hanging="567"/>
        <w:rPr>
          <w:b/>
          <w:bCs/>
          <w:color w:val="000000"/>
          <w:sz w:val="23"/>
          <w:szCs w:val="23"/>
        </w:rPr>
      </w:pPr>
      <w:r w:rsidRPr="007D215D">
        <w:rPr>
          <w:color w:val="000000"/>
          <w:sz w:val="23"/>
          <w:szCs w:val="23"/>
        </w:rPr>
        <w:t xml:space="preserve">To be able to demonstrate conformance, a self-assessment is undertaken on an annual basis, with an external validation once every 5 years. The external validation took place in June / July and the report is now attached at </w:t>
      </w:r>
      <w:r w:rsidRPr="007D215D">
        <w:rPr>
          <w:b/>
          <w:bCs/>
          <w:color w:val="000000"/>
          <w:sz w:val="23"/>
          <w:szCs w:val="23"/>
        </w:rPr>
        <w:t>Appendix F.</w:t>
      </w:r>
    </w:p>
    <w:p w14:paraId="1FCA6B79" w14:textId="77777777" w:rsidR="007D215D" w:rsidRPr="00C319FF" w:rsidRDefault="007D215D" w:rsidP="007D215D">
      <w:pPr>
        <w:pStyle w:val="ListParagraph"/>
        <w:rPr>
          <w:color w:val="000000"/>
          <w:sz w:val="23"/>
          <w:szCs w:val="23"/>
        </w:rPr>
      </w:pPr>
    </w:p>
    <w:p w14:paraId="3389B4A9" w14:textId="77777777" w:rsidR="007D215D" w:rsidRPr="00C319FF" w:rsidRDefault="007D215D" w:rsidP="007D215D">
      <w:pPr>
        <w:pStyle w:val="ListParagraph"/>
        <w:numPr>
          <w:ilvl w:val="0"/>
          <w:numId w:val="20"/>
        </w:numPr>
        <w:spacing w:line="240" w:lineRule="auto"/>
        <w:ind w:left="567" w:hanging="567"/>
        <w:rPr>
          <w:color w:val="000000"/>
          <w:sz w:val="23"/>
          <w:szCs w:val="23"/>
        </w:rPr>
      </w:pPr>
      <w:r w:rsidRPr="00CB2DB1">
        <w:rPr>
          <w:color w:val="000000"/>
          <w:sz w:val="23"/>
          <w:szCs w:val="23"/>
        </w:rPr>
        <w:t xml:space="preserve">It is pleasing to note that the service fully conforms with the PSIAS </w:t>
      </w:r>
      <w:r>
        <w:rPr>
          <w:color w:val="000000"/>
          <w:sz w:val="23"/>
          <w:szCs w:val="23"/>
        </w:rPr>
        <w:t xml:space="preserve">with the exception of some minor process improvements which will be implemented over the next few months. </w:t>
      </w:r>
    </w:p>
    <w:p w14:paraId="347CDA26" w14:textId="32BC3982" w:rsidR="00CD4005" w:rsidRPr="002F1805" w:rsidRDefault="00CD4005" w:rsidP="002F4B61">
      <w:pPr>
        <w:spacing w:after="0"/>
      </w:pPr>
    </w:p>
    <w:p w14:paraId="7B0BC669" w14:textId="77777777" w:rsidR="008B2D37" w:rsidRPr="008C37E1" w:rsidRDefault="00D01593" w:rsidP="002F4B61">
      <w:pPr>
        <w:pStyle w:val="Heading2"/>
      </w:pPr>
      <w:bookmarkStart w:id="3" w:name="_Hlk107392085"/>
      <w:r w:rsidRPr="008C37E1">
        <w:t>Climate change and air quality</w:t>
      </w:r>
    </w:p>
    <w:p w14:paraId="3CB72E7F" w14:textId="77777777" w:rsidR="008B2D37" w:rsidRPr="00E06F2E" w:rsidRDefault="008B2D37" w:rsidP="008B2D37">
      <w:pPr>
        <w:tabs>
          <w:tab w:val="left" w:pos="567"/>
        </w:tabs>
        <w:spacing w:after="0" w:line="240" w:lineRule="auto"/>
        <w:ind w:right="-284"/>
        <w:rPr>
          <w:rFonts w:ascii="Arial" w:eastAsia="Times New Roman" w:hAnsi="Arial" w:cs="Arial"/>
          <w:lang w:eastAsia="en-GB"/>
        </w:rPr>
      </w:pPr>
    </w:p>
    <w:p w14:paraId="3252CA32" w14:textId="6B9199CB" w:rsidR="002F4B61" w:rsidRPr="002F4B61" w:rsidRDefault="00D01593" w:rsidP="007D215D">
      <w:pPr>
        <w:pStyle w:val="ListParagraph"/>
        <w:numPr>
          <w:ilvl w:val="0"/>
          <w:numId w:val="23"/>
        </w:numPr>
        <w:spacing w:after="0" w:line="240" w:lineRule="auto"/>
        <w:ind w:left="567" w:hanging="567"/>
        <w:rPr>
          <w:rFonts w:ascii="Arial" w:hAnsi="Arial" w:cs="Arial"/>
          <w:lang w:eastAsia="en-GB"/>
        </w:rPr>
      </w:pPr>
      <w:r>
        <w:t xml:space="preserve">The work noted in this report does not impact the climate change and sustainability </w:t>
      </w:r>
      <w:r w:rsidR="007948D6">
        <w:t>targets of the Councils Green Agenda and all environmental considerations are in place.</w:t>
      </w:r>
      <w:r w:rsidR="008B2D37">
        <w:t xml:space="preserve"> </w:t>
      </w: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0259677B" w14:textId="77777777" w:rsidR="007D215D" w:rsidRDefault="007D215D" w:rsidP="00163649">
      <w:pPr>
        <w:pStyle w:val="Heading2"/>
      </w:pPr>
      <w:bookmarkStart w:id="4" w:name="_Hlk107392059"/>
      <w:bookmarkEnd w:id="3"/>
    </w:p>
    <w:p w14:paraId="482F3E1C" w14:textId="77777777" w:rsidR="007D215D" w:rsidRDefault="007D215D" w:rsidP="00163649">
      <w:pPr>
        <w:pStyle w:val="Heading2"/>
      </w:pPr>
    </w:p>
    <w:p w14:paraId="17D371B2" w14:textId="77777777" w:rsidR="004D17C5" w:rsidRDefault="004D17C5" w:rsidP="00163649">
      <w:pPr>
        <w:pStyle w:val="Heading2"/>
      </w:pPr>
    </w:p>
    <w:p w14:paraId="72E223C7" w14:textId="77777777" w:rsidR="004D17C5" w:rsidRDefault="004D17C5" w:rsidP="00163649">
      <w:pPr>
        <w:pStyle w:val="Heading2"/>
      </w:pPr>
    </w:p>
    <w:p w14:paraId="162B0252" w14:textId="77777777" w:rsidR="004D17C5" w:rsidRDefault="004D17C5" w:rsidP="00163649">
      <w:pPr>
        <w:pStyle w:val="Heading2"/>
      </w:pPr>
    </w:p>
    <w:p w14:paraId="39676BF9" w14:textId="688374F6" w:rsidR="008B2D37" w:rsidRPr="008C37E1" w:rsidRDefault="00D01593" w:rsidP="00163649">
      <w:pPr>
        <w:pStyle w:val="Heading2"/>
      </w:pPr>
      <w:r w:rsidRPr="008C37E1">
        <w:lastRenderedPageBreak/>
        <w:t>Equality and diversity</w:t>
      </w:r>
    </w:p>
    <w:p w14:paraId="4FA5EF12" w14:textId="77777777" w:rsidR="008B2D37" w:rsidRPr="00ED4FF1" w:rsidRDefault="008B2D37" w:rsidP="00163649">
      <w:pPr>
        <w:spacing w:after="0"/>
      </w:pPr>
    </w:p>
    <w:p w14:paraId="7AFF3694" w14:textId="6547C15D" w:rsidR="007D215D" w:rsidRPr="00EC7757" w:rsidRDefault="007D215D" w:rsidP="007D215D">
      <w:pPr>
        <w:pStyle w:val="ListParagraph"/>
        <w:numPr>
          <w:ilvl w:val="0"/>
          <w:numId w:val="24"/>
        </w:numPr>
        <w:spacing w:after="0" w:line="256" w:lineRule="auto"/>
        <w:ind w:left="567" w:hanging="567"/>
        <w:rPr>
          <w:rFonts w:cstheme="minorHAnsi"/>
          <w:iCs/>
        </w:rPr>
      </w:pPr>
      <w:r w:rsidRPr="00EC7757">
        <w:rPr>
          <w:rFonts w:cstheme="minorHAnsi"/>
          <w:iCs/>
        </w:rPr>
        <w:t xml:space="preserve">The material presented and discussed in this report has not direct implications on equality and diversity. </w:t>
      </w:r>
    </w:p>
    <w:p w14:paraId="5BF5DF05" w14:textId="77777777" w:rsidR="00584159" w:rsidRPr="00584159" w:rsidRDefault="00584159" w:rsidP="00163649">
      <w:pPr>
        <w:spacing w:after="0"/>
        <w:rPr>
          <w:rFonts w:cstheme="minorHAnsi"/>
          <w:iCs/>
        </w:rPr>
      </w:pPr>
    </w:p>
    <w:p w14:paraId="52FD231E" w14:textId="77777777" w:rsidR="008B2D37" w:rsidRPr="008C37E1" w:rsidRDefault="00D01593" w:rsidP="001D3B9C">
      <w:pPr>
        <w:pStyle w:val="Heading2"/>
      </w:pPr>
      <w:r w:rsidRPr="008C37E1">
        <w:t>Risk</w:t>
      </w:r>
    </w:p>
    <w:bookmarkEnd w:id="4"/>
    <w:p w14:paraId="54390698" w14:textId="77777777" w:rsidR="008B2D37" w:rsidRDefault="008B2D37" w:rsidP="008B2D37">
      <w:pPr>
        <w:spacing w:after="0"/>
      </w:pPr>
    </w:p>
    <w:p w14:paraId="2ABEE71D" w14:textId="7FDA45DA" w:rsidR="008B2D37" w:rsidRPr="001D3B9C" w:rsidRDefault="007D215D" w:rsidP="007D215D">
      <w:pPr>
        <w:pStyle w:val="ListParagraph"/>
        <w:numPr>
          <w:ilvl w:val="0"/>
          <w:numId w:val="25"/>
        </w:numPr>
        <w:spacing w:after="0"/>
        <w:ind w:left="567" w:hanging="567"/>
        <w:rPr>
          <w:b/>
          <w:bCs/>
        </w:rPr>
      </w:pPr>
      <w:r>
        <w:t xml:space="preserve">Risks are considered and highlighted throughout the report. </w:t>
      </w:r>
    </w:p>
    <w:p w14:paraId="3612AD90" w14:textId="77777777" w:rsidR="00D1305C" w:rsidRPr="002F1805" w:rsidRDefault="00D1305C" w:rsidP="001D3B9C">
      <w:pPr>
        <w:spacing w:after="0"/>
        <w:rPr>
          <w:rFonts w:cstheme="minorHAnsi"/>
          <w:b/>
          <w:bCs/>
          <w:sz w:val="20"/>
          <w:szCs w:val="20"/>
        </w:rPr>
      </w:pPr>
    </w:p>
    <w:p w14:paraId="0599383F" w14:textId="20770FE1" w:rsidR="00D1305C" w:rsidRDefault="00D01593"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41F46C2E" w:rsidR="00D1305C" w:rsidRPr="00883AC9" w:rsidRDefault="007D215D" w:rsidP="007D215D">
      <w:pPr>
        <w:numPr>
          <w:ilvl w:val="0"/>
          <w:numId w:val="25"/>
        </w:numPr>
        <w:spacing w:after="0" w:line="240" w:lineRule="auto"/>
        <w:ind w:left="567" w:hanging="567"/>
        <w:jc w:val="both"/>
        <w:rPr>
          <w:rFonts w:cstheme="minorHAnsi"/>
          <w:bCs/>
          <w:iCs/>
        </w:rPr>
      </w:pPr>
      <w:r>
        <w:rPr>
          <w:rFonts w:cstheme="minorHAnsi"/>
          <w:bCs/>
          <w:iCs/>
        </w:rPr>
        <w:t xml:space="preserve">Not applicable. </w:t>
      </w:r>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D01593" w:rsidP="006D56BC">
      <w:pPr>
        <w:pStyle w:val="Heading2"/>
      </w:pPr>
      <w:r w:rsidRPr="008C37E1">
        <w:t>Comments of the Monitoring Officer</w:t>
      </w:r>
    </w:p>
    <w:p w14:paraId="297958DA" w14:textId="77777777" w:rsidR="008C37E1" w:rsidRPr="008C37E1" w:rsidRDefault="008C37E1" w:rsidP="00465B5C">
      <w:pPr>
        <w:spacing w:after="0"/>
      </w:pPr>
    </w:p>
    <w:p w14:paraId="279A28FA" w14:textId="1BF8DBF0" w:rsidR="00D1305C" w:rsidRPr="00883AC9" w:rsidRDefault="007D215D" w:rsidP="007D215D">
      <w:pPr>
        <w:numPr>
          <w:ilvl w:val="0"/>
          <w:numId w:val="25"/>
        </w:numPr>
        <w:spacing w:after="0" w:line="240" w:lineRule="auto"/>
        <w:ind w:left="567" w:hanging="567"/>
        <w:jc w:val="both"/>
        <w:rPr>
          <w:rFonts w:cstheme="minorHAnsi"/>
          <w:bCs/>
          <w:iCs/>
        </w:rPr>
      </w:pPr>
      <w:r>
        <w:rPr>
          <w:rFonts w:cstheme="minorHAnsi"/>
          <w:bCs/>
          <w:iCs/>
        </w:rPr>
        <w:t xml:space="preserve">Not applicable. </w:t>
      </w:r>
      <w:r w:rsidR="00D01593" w:rsidRPr="00883AC9">
        <w:rPr>
          <w:rFonts w:cstheme="minorHAnsi"/>
          <w:bCs/>
          <w:iCs/>
        </w:rPr>
        <w:t xml:space="preserve"> </w:t>
      </w:r>
    </w:p>
    <w:p w14:paraId="6DCF9827" w14:textId="77777777" w:rsidR="00D1305C" w:rsidRPr="002F1805" w:rsidRDefault="00D1305C" w:rsidP="006D56BC">
      <w:pPr>
        <w:spacing w:after="0"/>
      </w:pPr>
    </w:p>
    <w:p w14:paraId="23A7AC7B" w14:textId="77777777" w:rsidR="006D56BC" w:rsidRDefault="00D01593"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033FA6B0" w14:textId="51E3F787" w:rsidR="00D1305C" w:rsidRDefault="00D01593" w:rsidP="006D56BC">
      <w:pPr>
        <w:spacing w:after="0" w:line="20" w:lineRule="atLeast"/>
        <w:rPr>
          <w:lang w:eastAsia="en-GB"/>
        </w:rPr>
      </w:pPr>
      <w:r w:rsidRPr="009A514D">
        <w:rPr>
          <w:lang w:eastAsia="en-GB"/>
        </w:rPr>
        <w:t>There are no background papers to this report</w:t>
      </w:r>
      <w:r w:rsidR="006D56BC">
        <w:rPr>
          <w:lang w:eastAsia="en-GB"/>
        </w:rPr>
        <w:t xml:space="preserve">.  </w:t>
      </w:r>
    </w:p>
    <w:p w14:paraId="6E67DCA6" w14:textId="77777777" w:rsidR="002F1805" w:rsidRPr="002F1805" w:rsidRDefault="002F1805" w:rsidP="006D56BC">
      <w:pPr>
        <w:spacing w:after="0"/>
      </w:pPr>
    </w:p>
    <w:p w14:paraId="48097988" w14:textId="7EA4E180" w:rsidR="00D1305C" w:rsidRPr="008C37E1" w:rsidRDefault="00D01593" w:rsidP="006D56BC">
      <w:pPr>
        <w:pStyle w:val="Heading2"/>
      </w:pPr>
      <w:r w:rsidRPr="008C37E1">
        <w:t xml:space="preserve">Appendices </w:t>
      </w:r>
    </w:p>
    <w:p w14:paraId="14435535" w14:textId="77777777" w:rsidR="002F1805" w:rsidRPr="002F1805" w:rsidRDefault="002F1805" w:rsidP="006D56BC">
      <w:pPr>
        <w:spacing w:after="20" w:line="240" w:lineRule="auto"/>
      </w:pPr>
    </w:p>
    <w:p w14:paraId="22D86499" w14:textId="7BF0E0B0" w:rsidR="00D1305C" w:rsidRPr="00883AC9" w:rsidRDefault="00D01593"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Appendix A</w:t>
      </w:r>
      <w:r w:rsidR="00267057">
        <w:rPr>
          <w:rFonts w:eastAsia="Times New Roman"/>
          <w:iCs/>
          <w:color w:val="000000" w:themeColor="text1"/>
          <w:kern w:val="36"/>
          <w:lang w:eastAsia="en-GB"/>
        </w:rPr>
        <w:t xml:space="preserve"> – Internal Audit Plan April 23 to September 23</w:t>
      </w:r>
    </w:p>
    <w:p w14:paraId="629805FD" w14:textId="10EFF4D1" w:rsidR="00D1305C" w:rsidRDefault="00D01593"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 xml:space="preserve">Appendix B </w:t>
      </w:r>
      <w:r w:rsidR="00267057">
        <w:rPr>
          <w:rFonts w:eastAsia="Times New Roman"/>
          <w:iCs/>
          <w:color w:val="000000" w:themeColor="text1"/>
          <w:kern w:val="36"/>
          <w:lang w:eastAsia="en-GB"/>
        </w:rPr>
        <w:t xml:space="preserve"> - Internal Audit Review of Sundry Debtors – Aged Debts</w:t>
      </w:r>
    </w:p>
    <w:p w14:paraId="608FB1DE" w14:textId="43888DB2" w:rsidR="00267057" w:rsidRDefault="00267057" w:rsidP="006D56BC">
      <w:pPr>
        <w:spacing w:after="20" w:line="240" w:lineRule="auto"/>
        <w:rPr>
          <w:rFonts w:eastAsia="Times New Roman"/>
          <w:iCs/>
          <w:color w:val="000000" w:themeColor="text1"/>
          <w:kern w:val="36"/>
          <w:lang w:eastAsia="en-GB"/>
        </w:rPr>
      </w:pPr>
      <w:r>
        <w:rPr>
          <w:rFonts w:eastAsia="Times New Roman"/>
          <w:iCs/>
          <w:color w:val="000000" w:themeColor="text1"/>
          <w:kern w:val="36"/>
          <w:lang w:eastAsia="en-GB"/>
        </w:rPr>
        <w:t>Appendix C – Internal Audit Review of Building Control</w:t>
      </w:r>
    </w:p>
    <w:p w14:paraId="68B0BCF4" w14:textId="61A12C45" w:rsidR="00267057" w:rsidRDefault="00267057" w:rsidP="006D56BC">
      <w:pPr>
        <w:spacing w:after="20" w:line="240" w:lineRule="auto"/>
        <w:rPr>
          <w:rFonts w:eastAsia="Times New Roman"/>
          <w:iCs/>
          <w:color w:val="000000" w:themeColor="text1"/>
          <w:kern w:val="36"/>
          <w:lang w:eastAsia="en-GB"/>
        </w:rPr>
      </w:pPr>
      <w:r>
        <w:rPr>
          <w:rFonts w:eastAsia="Times New Roman"/>
          <w:iCs/>
          <w:color w:val="000000" w:themeColor="text1"/>
          <w:kern w:val="36"/>
          <w:lang w:eastAsia="en-GB"/>
        </w:rPr>
        <w:t>Appendix D – Internal Audit Review of Data Quality</w:t>
      </w:r>
    </w:p>
    <w:p w14:paraId="7F2C4208" w14:textId="32D6CE56" w:rsidR="00267057" w:rsidRDefault="00267057" w:rsidP="006D56BC">
      <w:pPr>
        <w:spacing w:after="20" w:line="240" w:lineRule="auto"/>
        <w:rPr>
          <w:rFonts w:eastAsia="Times New Roman"/>
          <w:iCs/>
          <w:color w:val="000000" w:themeColor="text1"/>
          <w:kern w:val="36"/>
          <w:lang w:eastAsia="en-GB"/>
        </w:rPr>
      </w:pPr>
      <w:r>
        <w:rPr>
          <w:rFonts w:eastAsia="Times New Roman"/>
          <w:iCs/>
          <w:color w:val="000000" w:themeColor="text1"/>
          <w:kern w:val="36"/>
          <w:lang w:eastAsia="en-GB"/>
        </w:rPr>
        <w:t>Appendix E – Internal Audit Performance Indicators as at 30</w:t>
      </w:r>
      <w:r w:rsidRPr="00267057">
        <w:rPr>
          <w:rFonts w:eastAsia="Times New Roman"/>
          <w:iCs/>
          <w:color w:val="000000" w:themeColor="text1"/>
          <w:kern w:val="36"/>
          <w:vertAlign w:val="superscript"/>
          <w:lang w:eastAsia="en-GB"/>
        </w:rPr>
        <w:t>th</w:t>
      </w:r>
      <w:r>
        <w:rPr>
          <w:rFonts w:eastAsia="Times New Roman"/>
          <w:iCs/>
          <w:color w:val="000000" w:themeColor="text1"/>
          <w:kern w:val="36"/>
          <w:lang w:eastAsia="en-GB"/>
        </w:rPr>
        <w:t xml:space="preserve"> June 2023.</w:t>
      </w:r>
    </w:p>
    <w:p w14:paraId="75B684C4" w14:textId="4E434BEA" w:rsidR="00267057" w:rsidRDefault="00267057" w:rsidP="006D56BC">
      <w:pPr>
        <w:spacing w:after="20" w:line="240" w:lineRule="auto"/>
        <w:rPr>
          <w:rFonts w:eastAsia="Times New Roman"/>
          <w:iCs/>
          <w:color w:val="000000" w:themeColor="text1"/>
          <w:kern w:val="36"/>
          <w:lang w:eastAsia="en-GB"/>
        </w:rPr>
      </w:pPr>
      <w:r>
        <w:rPr>
          <w:rFonts w:eastAsia="Times New Roman"/>
          <w:iCs/>
          <w:color w:val="000000" w:themeColor="text1"/>
          <w:kern w:val="36"/>
          <w:lang w:eastAsia="en-GB"/>
        </w:rPr>
        <w:t>Appendix F – Peer Review of Internal Audit against the UK Public Sector Internal Audit Standards.</w:t>
      </w:r>
    </w:p>
    <w:p w14:paraId="68D8D646" w14:textId="77777777" w:rsidR="00267057" w:rsidRPr="00883AC9" w:rsidRDefault="00267057" w:rsidP="006D56BC">
      <w:pPr>
        <w:spacing w:after="20" w:line="240" w:lineRule="auto"/>
        <w:rPr>
          <w:rFonts w:eastAsia="Times New Roman"/>
          <w:iCs/>
          <w:color w:val="000000" w:themeColor="text1"/>
          <w:kern w:val="36"/>
          <w:lang w:eastAsia="en-GB"/>
        </w:rPr>
      </w:pP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534"/>
        <w:gridCol w:w="1562"/>
        <w:gridCol w:w="1109"/>
      </w:tblGrid>
      <w:tr w:rsidR="003804D2" w14:paraId="342F19D2" w14:textId="77777777" w:rsidTr="008D541D">
        <w:tc>
          <w:tcPr>
            <w:tcW w:w="3645" w:type="dxa"/>
            <w:shd w:val="clear" w:color="auto" w:fill="auto"/>
          </w:tcPr>
          <w:p w14:paraId="6A6A83F0" w14:textId="77777777" w:rsidR="00D1305C" w:rsidRPr="00D1305C" w:rsidRDefault="00D01593"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D01593"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D01593"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D01593"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3804D2" w14:paraId="79B87AE3" w14:textId="77777777" w:rsidTr="008D541D">
        <w:tc>
          <w:tcPr>
            <w:tcW w:w="3645" w:type="dxa"/>
            <w:shd w:val="clear" w:color="auto" w:fill="auto"/>
          </w:tcPr>
          <w:p w14:paraId="0DFE68A1" w14:textId="77777777" w:rsidR="00D1305C" w:rsidRPr="00D1305C" w:rsidRDefault="00D01593"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Dawn Highton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Head of Audit &amp; Risk</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D01593"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dawn.highton@southribble.gov.uk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1F8347FF" w:rsidR="00D1305C" w:rsidRPr="00D1305C" w:rsidRDefault="004D17C5"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01772625625</w:t>
            </w:r>
            <w:r w:rsidR="00D01593">
              <w:rPr>
                <w:rFonts w:eastAsia="Times New Roman" w:cstheme="minorHAnsi"/>
                <w:bCs/>
                <w:color w:val="000000" w:themeColor="text1"/>
                <w:kern w:val="36"/>
                <w:lang w:eastAsia="en-GB"/>
              </w:rPr>
              <w:fldChar w:fldCharType="begin"/>
            </w:r>
            <w:r w:rsidR="00D01593">
              <w:rPr>
                <w:rFonts w:eastAsia="Times New Roman" w:cstheme="minorHAnsi"/>
                <w:bCs/>
                <w:color w:val="000000" w:themeColor="text1"/>
                <w:kern w:val="36"/>
                <w:lang w:eastAsia="en-GB"/>
              </w:rPr>
              <w:instrText xml:space="preserve"> DOCPROPERTY  LeadOfficerTel  \* MERGEFORMAT </w:instrText>
            </w:r>
            <w:r w:rsidR="00D01593">
              <w:rPr>
                <w:rFonts w:eastAsia="Times New Roman" w:cstheme="minorHAnsi"/>
                <w:bCs/>
                <w:color w:val="000000" w:themeColor="text1"/>
                <w:kern w:val="36"/>
                <w:lang w:eastAsia="en-GB"/>
              </w:rPr>
              <w:fldChar w:fldCharType="end"/>
            </w:r>
          </w:p>
        </w:tc>
        <w:tc>
          <w:tcPr>
            <w:tcW w:w="1180" w:type="dxa"/>
            <w:shd w:val="clear" w:color="auto" w:fill="auto"/>
          </w:tcPr>
          <w:p w14:paraId="2AE04B60" w14:textId="196F1508" w:rsidR="00D1305C" w:rsidRPr="00D1305C" w:rsidRDefault="004D17C5"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11.9.23</w:t>
            </w:r>
          </w:p>
        </w:tc>
      </w:tr>
    </w:tbl>
    <w:p w14:paraId="4E3FB662" w14:textId="41C03C7F"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18B"/>
    <w:multiLevelType w:val="hybridMultilevel"/>
    <w:tmpl w:val="BA2EFF00"/>
    <w:lvl w:ilvl="0" w:tplc="88EC3B50">
      <w:start w:val="1"/>
      <w:numFmt w:val="decimal"/>
      <w:lvlText w:val="%1."/>
      <w:lvlJc w:val="left"/>
      <w:pPr>
        <w:ind w:left="720" w:hanging="360"/>
      </w:pPr>
    </w:lvl>
    <w:lvl w:ilvl="1" w:tplc="D1C881C2" w:tentative="1">
      <w:start w:val="1"/>
      <w:numFmt w:val="lowerLetter"/>
      <w:lvlText w:val="%2."/>
      <w:lvlJc w:val="left"/>
      <w:pPr>
        <w:ind w:left="1440" w:hanging="360"/>
      </w:pPr>
    </w:lvl>
    <w:lvl w:ilvl="2" w:tplc="98CAE75C" w:tentative="1">
      <w:start w:val="1"/>
      <w:numFmt w:val="lowerRoman"/>
      <w:lvlText w:val="%3."/>
      <w:lvlJc w:val="right"/>
      <w:pPr>
        <w:ind w:left="2160" w:hanging="180"/>
      </w:pPr>
    </w:lvl>
    <w:lvl w:ilvl="3" w:tplc="3C727096" w:tentative="1">
      <w:start w:val="1"/>
      <w:numFmt w:val="decimal"/>
      <w:lvlText w:val="%4."/>
      <w:lvlJc w:val="left"/>
      <w:pPr>
        <w:ind w:left="2880" w:hanging="360"/>
      </w:pPr>
    </w:lvl>
    <w:lvl w:ilvl="4" w:tplc="82F21540" w:tentative="1">
      <w:start w:val="1"/>
      <w:numFmt w:val="lowerLetter"/>
      <w:lvlText w:val="%5."/>
      <w:lvlJc w:val="left"/>
      <w:pPr>
        <w:ind w:left="3600" w:hanging="360"/>
      </w:pPr>
    </w:lvl>
    <w:lvl w:ilvl="5" w:tplc="89203B8C" w:tentative="1">
      <w:start w:val="1"/>
      <w:numFmt w:val="lowerRoman"/>
      <w:lvlText w:val="%6."/>
      <w:lvlJc w:val="right"/>
      <w:pPr>
        <w:ind w:left="4320" w:hanging="180"/>
      </w:pPr>
    </w:lvl>
    <w:lvl w:ilvl="6" w:tplc="E3001096" w:tentative="1">
      <w:start w:val="1"/>
      <w:numFmt w:val="decimal"/>
      <w:lvlText w:val="%7."/>
      <w:lvlJc w:val="left"/>
      <w:pPr>
        <w:ind w:left="5040" w:hanging="360"/>
      </w:pPr>
    </w:lvl>
    <w:lvl w:ilvl="7" w:tplc="928C9204" w:tentative="1">
      <w:start w:val="1"/>
      <w:numFmt w:val="lowerLetter"/>
      <w:lvlText w:val="%8."/>
      <w:lvlJc w:val="left"/>
      <w:pPr>
        <w:ind w:left="5760" w:hanging="360"/>
      </w:pPr>
    </w:lvl>
    <w:lvl w:ilvl="8" w:tplc="51C8E9CE" w:tentative="1">
      <w:start w:val="1"/>
      <w:numFmt w:val="lowerRoman"/>
      <w:lvlText w:val="%9."/>
      <w:lvlJc w:val="right"/>
      <w:pPr>
        <w:ind w:left="6480" w:hanging="180"/>
      </w:pPr>
    </w:lvl>
  </w:abstractNum>
  <w:abstractNum w:abstractNumId="1" w15:restartNumberingAfterBreak="0">
    <w:nsid w:val="165152D1"/>
    <w:multiLevelType w:val="hybridMultilevel"/>
    <w:tmpl w:val="CE42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A6658"/>
    <w:multiLevelType w:val="multilevel"/>
    <w:tmpl w:val="DDE64422"/>
    <w:lvl w:ilvl="0">
      <w:start w:val="18"/>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31521C8"/>
    <w:multiLevelType w:val="multilevel"/>
    <w:tmpl w:val="AC6677CA"/>
    <w:lvl w:ilvl="0">
      <w:start w:val="7"/>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9C772E2"/>
    <w:multiLevelType w:val="multilevel"/>
    <w:tmpl w:val="577CA3AE"/>
    <w:lvl w:ilvl="0">
      <w:start w:val="19"/>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D682B4B"/>
    <w:multiLevelType w:val="hybridMultilevel"/>
    <w:tmpl w:val="27D0AF2A"/>
    <w:lvl w:ilvl="0" w:tplc="4306C860">
      <w:start w:val="1"/>
      <w:numFmt w:val="bullet"/>
      <w:lvlText w:val=""/>
      <w:lvlJc w:val="left"/>
      <w:pPr>
        <w:ind w:left="990" w:hanging="360"/>
      </w:pPr>
      <w:rPr>
        <w:rFonts w:ascii="Symbol" w:hAnsi="Symbol" w:hint="default"/>
      </w:rPr>
    </w:lvl>
    <w:lvl w:ilvl="1" w:tplc="8342DDA2" w:tentative="1">
      <w:start w:val="1"/>
      <w:numFmt w:val="bullet"/>
      <w:lvlText w:val="o"/>
      <w:lvlJc w:val="left"/>
      <w:pPr>
        <w:ind w:left="1710" w:hanging="360"/>
      </w:pPr>
      <w:rPr>
        <w:rFonts w:ascii="Courier New" w:hAnsi="Courier New" w:cs="Courier New" w:hint="default"/>
      </w:rPr>
    </w:lvl>
    <w:lvl w:ilvl="2" w:tplc="0A5492EE" w:tentative="1">
      <w:start w:val="1"/>
      <w:numFmt w:val="bullet"/>
      <w:lvlText w:val=""/>
      <w:lvlJc w:val="left"/>
      <w:pPr>
        <w:ind w:left="2430" w:hanging="360"/>
      </w:pPr>
      <w:rPr>
        <w:rFonts w:ascii="Wingdings" w:hAnsi="Wingdings" w:hint="default"/>
      </w:rPr>
    </w:lvl>
    <w:lvl w:ilvl="3" w:tplc="4B3800BE" w:tentative="1">
      <w:start w:val="1"/>
      <w:numFmt w:val="bullet"/>
      <w:lvlText w:val=""/>
      <w:lvlJc w:val="left"/>
      <w:pPr>
        <w:ind w:left="3150" w:hanging="360"/>
      </w:pPr>
      <w:rPr>
        <w:rFonts w:ascii="Symbol" w:hAnsi="Symbol" w:hint="default"/>
      </w:rPr>
    </w:lvl>
    <w:lvl w:ilvl="4" w:tplc="EF8A3660" w:tentative="1">
      <w:start w:val="1"/>
      <w:numFmt w:val="bullet"/>
      <w:lvlText w:val="o"/>
      <w:lvlJc w:val="left"/>
      <w:pPr>
        <w:ind w:left="3870" w:hanging="360"/>
      </w:pPr>
      <w:rPr>
        <w:rFonts w:ascii="Courier New" w:hAnsi="Courier New" w:cs="Courier New" w:hint="default"/>
      </w:rPr>
    </w:lvl>
    <w:lvl w:ilvl="5" w:tplc="74102EF2" w:tentative="1">
      <w:start w:val="1"/>
      <w:numFmt w:val="bullet"/>
      <w:lvlText w:val=""/>
      <w:lvlJc w:val="left"/>
      <w:pPr>
        <w:ind w:left="4590" w:hanging="360"/>
      </w:pPr>
      <w:rPr>
        <w:rFonts w:ascii="Wingdings" w:hAnsi="Wingdings" w:hint="default"/>
      </w:rPr>
    </w:lvl>
    <w:lvl w:ilvl="6" w:tplc="8128637E" w:tentative="1">
      <w:start w:val="1"/>
      <w:numFmt w:val="bullet"/>
      <w:lvlText w:val=""/>
      <w:lvlJc w:val="left"/>
      <w:pPr>
        <w:ind w:left="5310" w:hanging="360"/>
      </w:pPr>
      <w:rPr>
        <w:rFonts w:ascii="Symbol" w:hAnsi="Symbol" w:hint="default"/>
      </w:rPr>
    </w:lvl>
    <w:lvl w:ilvl="7" w:tplc="4EDA895C" w:tentative="1">
      <w:start w:val="1"/>
      <w:numFmt w:val="bullet"/>
      <w:lvlText w:val="o"/>
      <w:lvlJc w:val="left"/>
      <w:pPr>
        <w:ind w:left="6030" w:hanging="360"/>
      </w:pPr>
      <w:rPr>
        <w:rFonts w:ascii="Courier New" w:hAnsi="Courier New" w:cs="Courier New" w:hint="default"/>
      </w:rPr>
    </w:lvl>
    <w:lvl w:ilvl="8" w:tplc="F1DE704E" w:tentative="1">
      <w:start w:val="1"/>
      <w:numFmt w:val="bullet"/>
      <w:lvlText w:val=""/>
      <w:lvlJc w:val="left"/>
      <w:pPr>
        <w:ind w:left="6750" w:hanging="360"/>
      </w:pPr>
      <w:rPr>
        <w:rFonts w:ascii="Wingdings" w:hAnsi="Wingdings" w:hint="default"/>
      </w:rPr>
    </w:lvl>
  </w:abstractNum>
  <w:abstractNum w:abstractNumId="6" w15:restartNumberingAfterBreak="0">
    <w:nsid w:val="3B0324D4"/>
    <w:multiLevelType w:val="hybridMultilevel"/>
    <w:tmpl w:val="0CE2B5E6"/>
    <w:lvl w:ilvl="0" w:tplc="756E9700">
      <w:start w:val="1"/>
      <w:numFmt w:val="bullet"/>
      <w:lvlText w:val=""/>
      <w:lvlJc w:val="left"/>
      <w:pPr>
        <w:ind w:left="720" w:hanging="360"/>
      </w:pPr>
      <w:rPr>
        <w:rFonts w:ascii="Symbol" w:hAnsi="Symbol" w:hint="default"/>
        <w:color w:val="7FC444"/>
      </w:rPr>
    </w:lvl>
    <w:lvl w:ilvl="1" w:tplc="809EA0A6" w:tentative="1">
      <w:start w:val="1"/>
      <w:numFmt w:val="bullet"/>
      <w:lvlText w:val="o"/>
      <w:lvlJc w:val="left"/>
      <w:pPr>
        <w:ind w:left="1800" w:hanging="360"/>
      </w:pPr>
      <w:rPr>
        <w:rFonts w:ascii="Courier New" w:hAnsi="Courier New" w:cs="Courier New" w:hint="default"/>
      </w:rPr>
    </w:lvl>
    <w:lvl w:ilvl="2" w:tplc="8D1A881E" w:tentative="1">
      <w:start w:val="1"/>
      <w:numFmt w:val="bullet"/>
      <w:lvlText w:val=""/>
      <w:lvlJc w:val="left"/>
      <w:pPr>
        <w:ind w:left="2520" w:hanging="360"/>
      </w:pPr>
      <w:rPr>
        <w:rFonts w:ascii="Wingdings" w:hAnsi="Wingdings" w:hint="default"/>
      </w:rPr>
    </w:lvl>
    <w:lvl w:ilvl="3" w:tplc="49B4D606" w:tentative="1">
      <w:start w:val="1"/>
      <w:numFmt w:val="bullet"/>
      <w:lvlText w:val=""/>
      <w:lvlJc w:val="left"/>
      <w:pPr>
        <w:ind w:left="3240" w:hanging="360"/>
      </w:pPr>
      <w:rPr>
        <w:rFonts w:ascii="Symbol" w:hAnsi="Symbol" w:hint="default"/>
      </w:rPr>
    </w:lvl>
    <w:lvl w:ilvl="4" w:tplc="242E704A" w:tentative="1">
      <w:start w:val="1"/>
      <w:numFmt w:val="bullet"/>
      <w:lvlText w:val="o"/>
      <w:lvlJc w:val="left"/>
      <w:pPr>
        <w:ind w:left="3960" w:hanging="360"/>
      </w:pPr>
      <w:rPr>
        <w:rFonts w:ascii="Courier New" w:hAnsi="Courier New" w:cs="Courier New" w:hint="default"/>
      </w:rPr>
    </w:lvl>
    <w:lvl w:ilvl="5" w:tplc="45E60426" w:tentative="1">
      <w:start w:val="1"/>
      <w:numFmt w:val="bullet"/>
      <w:lvlText w:val=""/>
      <w:lvlJc w:val="left"/>
      <w:pPr>
        <w:ind w:left="4680" w:hanging="360"/>
      </w:pPr>
      <w:rPr>
        <w:rFonts w:ascii="Wingdings" w:hAnsi="Wingdings" w:hint="default"/>
      </w:rPr>
    </w:lvl>
    <w:lvl w:ilvl="6" w:tplc="7F36D788" w:tentative="1">
      <w:start w:val="1"/>
      <w:numFmt w:val="bullet"/>
      <w:lvlText w:val=""/>
      <w:lvlJc w:val="left"/>
      <w:pPr>
        <w:ind w:left="5400" w:hanging="360"/>
      </w:pPr>
      <w:rPr>
        <w:rFonts w:ascii="Symbol" w:hAnsi="Symbol" w:hint="default"/>
      </w:rPr>
    </w:lvl>
    <w:lvl w:ilvl="7" w:tplc="1E142986" w:tentative="1">
      <w:start w:val="1"/>
      <w:numFmt w:val="bullet"/>
      <w:lvlText w:val="o"/>
      <w:lvlJc w:val="left"/>
      <w:pPr>
        <w:ind w:left="6120" w:hanging="360"/>
      </w:pPr>
      <w:rPr>
        <w:rFonts w:ascii="Courier New" w:hAnsi="Courier New" w:cs="Courier New" w:hint="default"/>
      </w:rPr>
    </w:lvl>
    <w:lvl w:ilvl="8" w:tplc="47F6F6A8" w:tentative="1">
      <w:start w:val="1"/>
      <w:numFmt w:val="bullet"/>
      <w:lvlText w:val=""/>
      <w:lvlJc w:val="left"/>
      <w:pPr>
        <w:ind w:left="6840" w:hanging="360"/>
      </w:pPr>
      <w:rPr>
        <w:rFonts w:ascii="Wingdings" w:hAnsi="Wingdings" w:hint="default"/>
      </w:rPr>
    </w:lvl>
  </w:abstractNum>
  <w:abstractNum w:abstractNumId="7" w15:restartNumberingAfterBreak="0">
    <w:nsid w:val="45435624"/>
    <w:multiLevelType w:val="multilevel"/>
    <w:tmpl w:val="4FE46898"/>
    <w:lvl w:ilvl="0">
      <w:start w:val="6"/>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45842A5A"/>
    <w:multiLevelType w:val="hybridMultilevel"/>
    <w:tmpl w:val="0F9C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C44717"/>
    <w:multiLevelType w:val="hybridMultilevel"/>
    <w:tmpl w:val="063CA8B0"/>
    <w:lvl w:ilvl="0" w:tplc="01A8DB88">
      <w:start w:val="1"/>
      <w:numFmt w:val="decimal"/>
      <w:lvlText w:val="%1."/>
      <w:lvlJc w:val="left"/>
      <w:pPr>
        <w:ind w:left="720" w:hanging="360"/>
      </w:pPr>
    </w:lvl>
    <w:lvl w:ilvl="1" w:tplc="7E1C80DC" w:tentative="1">
      <w:start w:val="1"/>
      <w:numFmt w:val="lowerLetter"/>
      <w:lvlText w:val="%2."/>
      <w:lvlJc w:val="left"/>
      <w:pPr>
        <w:ind w:left="1440" w:hanging="360"/>
      </w:pPr>
    </w:lvl>
    <w:lvl w:ilvl="2" w:tplc="14CAFD34" w:tentative="1">
      <w:start w:val="1"/>
      <w:numFmt w:val="lowerRoman"/>
      <w:lvlText w:val="%3."/>
      <w:lvlJc w:val="right"/>
      <w:pPr>
        <w:ind w:left="2160" w:hanging="180"/>
      </w:pPr>
    </w:lvl>
    <w:lvl w:ilvl="3" w:tplc="3EEA20B0" w:tentative="1">
      <w:start w:val="1"/>
      <w:numFmt w:val="decimal"/>
      <w:lvlText w:val="%4."/>
      <w:lvlJc w:val="left"/>
      <w:pPr>
        <w:ind w:left="2880" w:hanging="360"/>
      </w:pPr>
    </w:lvl>
    <w:lvl w:ilvl="4" w:tplc="5F5CA7C2" w:tentative="1">
      <w:start w:val="1"/>
      <w:numFmt w:val="lowerLetter"/>
      <w:lvlText w:val="%5."/>
      <w:lvlJc w:val="left"/>
      <w:pPr>
        <w:ind w:left="3600" w:hanging="360"/>
      </w:pPr>
    </w:lvl>
    <w:lvl w:ilvl="5" w:tplc="48CE7E4A" w:tentative="1">
      <w:start w:val="1"/>
      <w:numFmt w:val="lowerRoman"/>
      <w:lvlText w:val="%6."/>
      <w:lvlJc w:val="right"/>
      <w:pPr>
        <w:ind w:left="4320" w:hanging="180"/>
      </w:pPr>
    </w:lvl>
    <w:lvl w:ilvl="6" w:tplc="6A0A6DB6" w:tentative="1">
      <w:start w:val="1"/>
      <w:numFmt w:val="decimal"/>
      <w:lvlText w:val="%7."/>
      <w:lvlJc w:val="left"/>
      <w:pPr>
        <w:ind w:left="5040" w:hanging="360"/>
      </w:pPr>
    </w:lvl>
    <w:lvl w:ilvl="7" w:tplc="75B41382" w:tentative="1">
      <w:start w:val="1"/>
      <w:numFmt w:val="lowerLetter"/>
      <w:lvlText w:val="%8."/>
      <w:lvlJc w:val="left"/>
      <w:pPr>
        <w:ind w:left="5760" w:hanging="360"/>
      </w:pPr>
    </w:lvl>
    <w:lvl w:ilvl="8" w:tplc="CF6C13C2" w:tentative="1">
      <w:start w:val="1"/>
      <w:numFmt w:val="lowerRoman"/>
      <w:lvlText w:val="%9."/>
      <w:lvlJc w:val="right"/>
      <w:pPr>
        <w:ind w:left="6480" w:hanging="180"/>
      </w:pPr>
    </w:lvl>
  </w:abstractNum>
  <w:abstractNum w:abstractNumId="10" w15:restartNumberingAfterBreak="0">
    <w:nsid w:val="53CB59B4"/>
    <w:multiLevelType w:val="hybridMultilevel"/>
    <w:tmpl w:val="875C3BD6"/>
    <w:lvl w:ilvl="0" w:tplc="F4B679EA">
      <w:start w:val="9"/>
      <w:numFmt w:val="decimal"/>
      <w:lvlText w:val="%1."/>
      <w:lvlJc w:val="left"/>
      <w:pPr>
        <w:ind w:left="644"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C42E2"/>
    <w:multiLevelType w:val="hybridMultilevel"/>
    <w:tmpl w:val="37ECB20A"/>
    <w:lvl w:ilvl="0" w:tplc="3F2616C8">
      <w:start w:val="1"/>
      <w:numFmt w:val="bullet"/>
      <w:lvlText w:val=""/>
      <w:lvlJc w:val="left"/>
      <w:pPr>
        <w:ind w:left="720" w:hanging="360"/>
      </w:pPr>
      <w:rPr>
        <w:rFonts w:ascii="Symbol" w:hAnsi="Symbol" w:hint="default"/>
        <w:color w:val="auto"/>
      </w:rPr>
    </w:lvl>
    <w:lvl w:ilvl="1" w:tplc="75D4BD84" w:tentative="1">
      <w:start w:val="1"/>
      <w:numFmt w:val="bullet"/>
      <w:lvlText w:val="o"/>
      <w:lvlJc w:val="left"/>
      <w:pPr>
        <w:ind w:left="1440" w:hanging="360"/>
      </w:pPr>
      <w:rPr>
        <w:rFonts w:ascii="Courier New" w:hAnsi="Courier New" w:cs="Courier New" w:hint="default"/>
      </w:rPr>
    </w:lvl>
    <w:lvl w:ilvl="2" w:tplc="09707144" w:tentative="1">
      <w:start w:val="1"/>
      <w:numFmt w:val="bullet"/>
      <w:lvlText w:val=""/>
      <w:lvlJc w:val="left"/>
      <w:pPr>
        <w:ind w:left="2160" w:hanging="360"/>
      </w:pPr>
      <w:rPr>
        <w:rFonts w:ascii="Wingdings" w:hAnsi="Wingdings" w:hint="default"/>
      </w:rPr>
    </w:lvl>
    <w:lvl w:ilvl="3" w:tplc="D422D31C" w:tentative="1">
      <w:start w:val="1"/>
      <w:numFmt w:val="bullet"/>
      <w:lvlText w:val=""/>
      <w:lvlJc w:val="left"/>
      <w:pPr>
        <w:ind w:left="2880" w:hanging="360"/>
      </w:pPr>
      <w:rPr>
        <w:rFonts w:ascii="Symbol" w:hAnsi="Symbol" w:hint="default"/>
      </w:rPr>
    </w:lvl>
    <w:lvl w:ilvl="4" w:tplc="6176744A" w:tentative="1">
      <w:start w:val="1"/>
      <w:numFmt w:val="bullet"/>
      <w:lvlText w:val="o"/>
      <w:lvlJc w:val="left"/>
      <w:pPr>
        <w:ind w:left="3600" w:hanging="360"/>
      </w:pPr>
      <w:rPr>
        <w:rFonts w:ascii="Courier New" w:hAnsi="Courier New" w:cs="Courier New" w:hint="default"/>
      </w:rPr>
    </w:lvl>
    <w:lvl w:ilvl="5" w:tplc="B73279BC" w:tentative="1">
      <w:start w:val="1"/>
      <w:numFmt w:val="bullet"/>
      <w:lvlText w:val=""/>
      <w:lvlJc w:val="left"/>
      <w:pPr>
        <w:ind w:left="4320" w:hanging="360"/>
      </w:pPr>
      <w:rPr>
        <w:rFonts w:ascii="Wingdings" w:hAnsi="Wingdings" w:hint="default"/>
      </w:rPr>
    </w:lvl>
    <w:lvl w:ilvl="6" w:tplc="94343C7C" w:tentative="1">
      <w:start w:val="1"/>
      <w:numFmt w:val="bullet"/>
      <w:lvlText w:val=""/>
      <w:lvlJc w:val="left"/>
      <w:pPr>
        <w:ind w:left="5040" w:hanging="360"/>
      </w:pPr>
      <w:rPr>
        <w:rFonts w:ascii="Symbol" w:hAnsi="Symbol" w:hint="default"/>
      </w:rPr>
    </w:lvl>
    <w:lvl w:ilvl="7" w:tplc="C756E540" w:tentative="1">
      <w:start w:val="1"/>
      <w:numFmt w:val="bullet"/>
      <w:lvlText w:val="o"/>
      <w:lvlJc w:val="left"/>
      <w:pPr>
        <w:ind w:left="5760" w:hanging="360"/>
      </w:pPr>
      <w:rPr>
        <w:rFonts w:ascii="Courier New" w:hAnsi="Courier New" w:cs="Courier New" w:hint="default"/>
      </w:rPr>
    </w:lvl>
    <w:lvl w:ilvl="8" w:tplc="7CD8E15C" w:tentative="1">
      <w:start w:val="1"/>
      <w:numFmt w:val="bullet"/>
      <w:lvlText w:val=""/>
      <w:lvlJc w:val="left"/>
      <w:pPr>
        <w:ind w:left="6480" w:hanging="360"/>
      </w:pPr>
      <w:rPr>
        <w:rFonts w:ascii="Wingdings" w:hAnsi="Wingdings" w:hint="default"/>
      </w:rPr>
    </w:lvl>
  </w:abstractNum>
  <w:abstractNum w:abstractNumId="12" w15:restartNumberingAfterBreak="0">
    <w:nsid w:val="56B53471"/>
    <w:multiLevelType w:val="hybridMultilevel"/>
    <w:tmpl w:val="0A94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D2CDE"/>
    <w:multiLevelType w:val="hybridMultilevel"/>
    <w:tmpl w:val="5B6827D0"/>
    <w:lvl w:ilvl="0" w:tplc="7C2ABB4E">
      <w:start w:val="1"/>
      <w:numFmt w:val="bullet"/>
      <w:lvlText w:val=""/>
      <w:lvlJc w:val="left"/>
      <w:pPr>
        <w:ind w:left="720" w:hanging="360"/>
      </w:pPr>
      <w:rPr>
        <w:rFonts w:ascii="Symbol" w:hAnsi="Symbol" w:hint="default"/>
        <w:color w:val="7FC444"/>
      </w:rPr>
    </w:lvl>
    <w:lvl w:ilvl="1" w:tplc="38A698CC" w:tentative="1">
      <w:start w:val="1"/>
      <w:numFmt w:val="bullet"/>
      <w:lvlText w:val="o"/>
      <w:lvlJc w:val="left"/>
      <w:pPr>
        <w:ind w:left="1440" w:hanging="360"/>
      </w:pPr>
      <w:rPr>
        <w:rFonts w:ascii="Courier New" w:hAnsi="Courier New" w:cs="Courier New" w:hint="default"/>
      </w:rPr>
    </w:lvl>
    <w:lvl w:ilvl="2" w:tplc="2FC04BAC" w:tentative="1">
      <w:start w:val="1"/>
      <w:numFmt w:val="bullet"/>
      <w:lvlText w:val=""/>
      <w:lvlJc w:val="left"/>
      <w:pPr>
        <w:ind w:left="2160" w:hanging="360"/>
      </w:pPr>
      <w:rPr>
        <w:rFonts w:ascii="Wingdings" w:hAnsi="Wingdings" w:hint="default"/>
      </w:rPr>
    </w:lvl>
    <w:lvl w:ilvl="3" w:tplc="7060867C" w:tentative="1">
      <w:start w:val="1"/>
      <w:numFmt w:val="bullet"/>
      <w:lvlText w:val=""/>
      <w:lvlJc w:val="left"/>
      <w:pPr>
        <w:ind w:left="2880" w:hanging="360"/>
      </w:pPr>
      <w:rPr>
        <w:rFonts w:ascii="Symbol" w:hAnsi="Symbol" w:hint="default"/>
      </w:rPr>
    </w:lvl>
    <w:lvl w:ilvl="4" w:tplc="A3A2F8AE" w:tentative="1">
      <w:start w:val="1"/>
      <w:numFmt w:val="bullet"/>
      <w:lvlText w:val="o"/>
      <w:lvlJc w:val="left"/>
      <w:pPr>
        <w:ind w:left="3600" w:hanging="360"/>
      </w:pPr>
      <w:rPr>
        <w:rFonts w:ascii="Courier New" w:hAnsi="Courier New" w:cs="Courier New" w:hint="default"/>
      </w:rPr>
    </w:lvl>
    <w:lvl w:ilvl="5" w:tplc="E5F6CE66" w:tentative="1">
      <w:start w:val="1"/>
      <w:numFmt w:val="bullet"/>
      <w:lvlText w:val=""/>
      <w:lvlJc w:val="left"/>
      <w:pPr>
        <w:ind w:left="4320" w:hanging="360"/>
      </w:pPr>
      <w:rPr>
        <w:rFonts w:ascii="Wingdings" w:hAnsi="Wingdings" w:hint="default"/>
      </w:rPr>
    </w:lvl>
    <w:lvl w:ilvl="6" w:tplc="B204F284" w:tentative="1">
      <w:start w:val="1"/>
      <w:numFmt w:val="bullet"/>
      <w:lvlText w:val=""/>
      <w:lvlJc w:val="left"/>
      <w:pPr>
        <w:ind w:left="5040" w:hanging="360"/>
      </w:pPr>
      <w:rPr>
        <w:rFonts w:ascii="Symbol" w:hAnsi="Symbol" w:hint="default"/>
      </w:rPr>
    </w:lvl>
    <w:lvl w:ilvl="7" w:tplc="6B587AB0" w:tentative="1">
      <w:start w:val="1"/>
      <w:numFmt w:val="bullet"/>
      <w:lvlText w:val="o"/>
      <w:lvlJc w:val="left"/>
      <w:pPr>
        <w:ind w:left="5760" w:hanging="360"/>
      </w:pPr>
      <w:rPr>
        <w:rFonts w:ascii="Courier New" w:hAnsi="Courier New" w:cs="Courier New" w:hint="default"/>
      </w:rPr>
    </w:lvl>
    <w:lvl w:ilvl="8" w:tplc="25D84FBA" w:tentative="1">
      <w:start w:val="1"/>
      <w:numFmt w:val="bullet"/>
      <w:lvlText w:val=""/>
      <w:lvlJc w:val="left"/>
      <w:pPr>
        <w:ind w:left="6480" w:hanging="360"/>
      </w:pPr>
      <w:rPr>
        <w:rFonts w:ascii="Wingdings" w:hAnsi="Wingdings" w:hint="default"/>
      </w:rPr>
    </w:lvl>
  </w:abstractNum>
  <w:abstractNum w:abstractNumId="14" w15:restartNumberingAfterBreak="0">
    <w:nsid w:val="5CE03EA3"/>
    <w:multiLevelType w:val="hybridMultilevel"/>
    <w:tmpl w:val="7F0C5260"/>
    <w:lvl w:ilvl="0" w:tplc="384E5680">
      <w:start w:val="1"/>
      <w:numFmt w:val="decimal"/>
      <w:lvlText w:val="%1."/>
      <w:lvlJc w:val="left"/>
      <w:pPr>
        <w:ind w:left="720" w:hanging="360"/>
      </w:pPr>
    </w:lvl>
    <w:lvl w:ilvl="1" w:tplc="D9A06018" w:tentative="1">
      <w:start w:val="1"/>
      <w:numFmt w:val="lowerLetter"/>
      <w:lvlText w:val="%2."/>
      <w:lvlJc w:val="left"/>
      <w:pPr>
        <w:ind w:left="1440" w:hanging="360"/>
      </w:pPr>
    </w:lvl>
    <w:lvl w:ilvl="2" w:tplc="CC405E54" w:tentative="1">
      <w:start w:val="1"/>
      <w:numFmt w:val="lowerRoman"/>
      <w:lvlText w:val="%3."/>
      <w:lvlJc w:val="right"/>
      <w:pPr>
        <w:ind w:left="2160" w:hanging="180"/>
      </w:pPr>
    </w:lvl>
    <w:lvl w:ilvl="3" w:tplc="2506A274" w:tentative="1">
      <w:start w:val="1"/>
      <w:numFmt w:val="decimal"/>
      <w:lvlText w:val="%4."/>
      <w:lvlJc w:val="left"/>
      <w:pPr>
        <w:ind w:left="2880" w:hanging="360"/>
      </w:pPr>
    </w:lvl>
    <w:lvl w:ilvl="4" w:tplc="D3444F9E" w:tentative="1">
      <w:start w:val="1"/>
      <w:numFmt w:val="lowerLetter"/>
      <w:lvlText w:val="%5."/>
      <w:lvlJc w:val="left"/>
      <w:pPr>
        <w:ind w:left="3600" w:hanging="360"/>
      </w:pPr>
    </w:lvl>
    <w:lvl w:ilvl="5" w:tplc="E2F0CC4A" w:tentative="1">
      <w:start w:val="1"/>
      <w:numFmt w:val="lowerRoman"/>
      <w:lvlText w:val="%6."/>
      <w:lvlJc w:val="right"/>
      <w:pPr>
        <w:ind w:left="4320" w:hanging="180"/>
      </w:pPr>
    </w:lvl>
    <w:lvl w:ilvl="6" w:tplc="C78CF048" w:tentative="1">
      <w:start w:val="1"/>
      <w:numFmt w:val="decimal"/>
      <w:lvlText w:val="%7."/>
      <w:lvlJc w:val="left"/>
      <w:pPr>
        <w:ind w:left="5040" w:hanging="360"/>
      </w:pPr>
    </w:lvl>
    <w:lvl w:ilvl="7" w:tplc="80B875B6" w:tentative="1">
      <w:start w:val="1"/>
      <w:numFmt w:val="lowerLetter"/>
      <w:lvlText w:val="%8."/>
      <w:lvlJc w:val="left"/>
      <w:pPr>
        <w:ind w:left="5760" w:hanging="360"/>
      </w:pPr>
    </w:lvl>
    <w:lvl w:ilvl="8" w:tplc="3CEA5E0A" w:tentative="1">
      <w:start w:val="1"/>
      <w:numFmt w:val="lowerRoman"/>
      <w:lvlText w:val="%9."/>
      <w:lvlJc w:val="right"/>
      <w:pPr>
        <w:ind w:left="6480" w:hanging="180"/>
      </w:pPr>
    </w:lvl>
  </w:abstractNum>
  <w:abstractNum w:abstractNumId="15"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6255ACB"/>
    <w:multiLevelType w:val="hybridMultilevel"/>
    <w:tmpl w:val="CF7A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7524EC"/>
    <w:multiLevelType w:val="hybridMultilevel"/>
    <w:tmpl w:val="C83AE318"/>
    <w:lvl w:ilvl="0" w:tplc="22EE6C72">
      <w:start w:val="1"/>
      <w:numFmt w:val="bullet"/>
      <w:lvlText w:val=""/>
      <w:lvlJc w:val="left"/>
      <w:pPr>
        <w:ind w:left="720" w:hanging="360"/>
      </w:pPr>
      <w:rPr>
        <w:rFonts w:ascii="Symbol" w:hAnsi="Symbol" w:hint="default"/>
        <w:color w:val="7FC444"/>
      </w:rPr>
    </w:lvl>
    <w:lvl w:ilvl="1" w:tplc="C36818AC" w:tentative="1">
      <w:start w:val="1"/>
      <w:numFmt w:val="bullet"/>
      <w:lvlText w:val="o"/>
      <w:lvlJc w:val="left"/>
      <w:pPr>
        <w:ind w:left="1440" w:hanging="360"/>
      </w:pPr>
      <w:rPr>
        <w:rFonts w:ascii="Courier New" w:hAnsi="Courier New" w:cs="Courier New" w:hint="default"/>
      </w:rPr>
    </w:lvl>
    <w:lvl w:ilvl="2" w:tplc="F6666750" w:tentative="1">
      <w:start w:val="1"/>
      <w:numFmt w:val="bullet"/>
      <w:lvlText w:val=""/>
      <w:lvlJc w:val="left"/>
      <w:pPr>
        <w:ind w:left="2160" w:hanging="360"/>
      </w:pPr>
      <w:rPr>
        <w:rFonts w:ascii="Wingdings" w:hAnsi="Wingdings" w:hint="default"/>
      </w:rPr>
    </w:lvl>
    <w:lvl w:ilvl="3" w:tplc="DF0417D6" w:tentative="1">
      <w:start w:val="1"/>
      <w:numFmt w:val="bullet"/>
      <w:lvlText w:val=""/>
      <w:lvlJc w:val="left"/>
      <w:pPr>
        <w:ind w:left="2880" w:hanging="360"/>
      </w:pPr>
      <w:rPr>
        <w:rFonts w:ascii="Symbol" w:hAnsi="Symbol" w:hint="default"/>
      </w:rPr>
    </w:lvl>
    <w:lvl w:ilvl="4" w:tplc="BB2C21E4" w:tentative="1">
      <w:start w:val="1"/>
      <w:numFmt w:val="bullet"/>
      <w:lvlText w:val="o"/>
      <w:lvlJc w:val="left"/>
      <w:pPr>
        <w:ind w:left="3600" w:hanging="360"/>
      </w:pPr>
      <w:rPr>
        <w:rFonts w:ascii="Courier New" w:hAnsi="Courier New" w:cs="Courier New" w:hint="default"/>
      </w:rPr>
    </w:lvl>
    <w:lvl w:ilvl="5" w:tplc="B1FCACA0" w:tentative="1">
      <w:start w:val="1"/>
      <w:numFmt w:val="bullet"/>
      <w:lvlText w:val=""/>
      <w:lvlJc w:val="left"/>
      <w:pPr>
        <w:ind w:left="4320" w:hanging="360"/>
      </w:pPr>
      <w:rPr>
        <w:rFonts w:ascii="Wingdings" w:hAnsi="Wingdings" w:hint="default"/>
      </w:rPr>
    </w:lvl>
    <w:lvl w:ilvl="6" w:tplc="25D6D290" w:tentative="1">
      <w:start w:val="1"/>
      <w:numFmt w:val="bullet"/>
      <w:lvlText w:val=""/>
      <w:lvlJc w:val="left"/>
      <w:pPr>
        <w:ind w:left="5040" w:hanging="360"/>
      </w:pPr>
      <w:rPr>
        <w:rFonts w:ascii="Symbol" w:hAnsi="Symbol" w:hint="default"/>
      </w:rPr>
    </w:lvl>
    <w:lvl w:ilvl="7" w:tplc="6FCA2AFA" w:tentative="1">
      <w:start w:val="1"/>
      <w:numFmt w:val="bullet"/>
      <w:lvlText w:val="o"/>
      <w:lvlJc w:val="left"/>
      <w:pPr>
        <w:ind w:left="5760" w:hanging="360"/>
      </w:pPr>
      <w:rPr>
        <w:rFonts w:ascii="Courier New" w:hAnsi="Courier New" w:cs="Courier New" w:hint="default"/>
      </w:rPr>
    </w:lvl>
    <w:lvl w:ilvl="8" w:tplc="3EC6BEF2" w:tentative="1">
      <w:start w:val="1"/>
      <w:numFmt w:val="bullet"/>
      <w:lvlText w:val=""/>
      <w:lvlJc w:val="left"/>
      <w:pPr>
        <w:ind w:left="6480" w:hanging="360"/>
      </w:pPr>
      <w:rPr>
        <w:rFonts w:ascii="Wingdings" w:hAnsi="Wingdings" w:hint="default"/>
      </w:rPr>
    </w:lvl>
  </w:abstractNum>
  <w:abstractNum w:abstractNumId="18" w15:restartNumberingAfterBreak="0">
    <w:nsid w:val="6B5D1DDF"/>
    <w:multiLevelType w:val="multilevel"/>
    <w:tmpl w:val="C5CCA176"/>
    <w:lvl w:ilvl="0">
      <w:start w:val="12"/>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6E981066"/>
    <w:multiLevelType w:val="hybridMultilevel"/>
    <w:tmpl w:val="29A03522"/>
    <w:lvl w:ilvl="0" w:tplc="6D0E5446">
      <w:start w:val="1"/>
      <w:numFmt w:val="bullet"/>
      <w:lvlText w:val=""/>
      <w:lvlJc w:val="left"/>
      <w:pPr>
        <w:ind w:left="720" w:hanging="360"/>
      </w:pPr>
      <w:rPr>
        <w:rFonts w:ascii="Symbol" w:hAnsi="Symbol" w:hint="default"/>
        <w:color w:val="7FC444"/>
      </w:rPr>
    </w:lvl>
    <w:lvl w:ilvl="1" w:tplc="8BDE5574" w:tentative="1">
      <w:start w:val="1"/>
      <w:numFmt w:val="bullet"/>
      <w:lvlText w:val="o"/>
      <w:lvlJc w:val="left"/>
      <w:pPr>
        <w:ind w:left="1440" w:hanging="360"/>
      </w:pPr>
      <w:rPr>
        <w:rFonts w:ascii="Courier New" w:hAnsi="Courier New" w:cs="Courier New" w:hint="default"/>
      </w:rPr>
    </w:lvl>
    <w:lvl w:ilvl="2" w:tplc="D3CCCCA0" w:tentative="1">
      <w:start w:val="1"/>
      <w:numFmt w:val="bullet"/>
      <w:lvlText w:val=""/>
      <w:lvlJc w:val="left"/>
      <w:pPr>
        <w:ind w:left="2160" w:hanging="360"/>
      </w:pPr>
      <w:rPr>
        <w:rFonts w:ascii="Wingdings" w:hAnsi="Wingdings" w:hint="default"/>
      </w:rPr>
    </w:lvl>
    <w:lvl w:ilvl="3" w:tplc="98EAE1D0" w:tentative="1">
      <w:start w:val="1"/>
      <w:numFmt w:val="bullet"/>
      <w:lvlText w:val=""/>
      <w:lvlJc w:val="left"/>
      <w:pPr>
        <w:ind w:left="2880" w:hanging="360"/>
      </w:pPr>
      <w:rPr>
        <w:rFonts w:ascii="Symbol" w:hAnsi="Symbol" w:hint="default"/>
      </w:rPr>
    </w:lvl>
    <w:lvl w:ilvl="4" w:tplc="80468566" w:tentative="1">
      <w:start w:val="1"/>
      <w:numFmt w:val="bullet"/>
      <w:lvlText w:val="o"/>
      <w:lvlJc w:val="left"/>
      <w:pPr>
        <w:ind w:left="3600" w:hanging="360"/>
      </w:pPr>
      <w:rPr>
        <w:rFonts w:ascii="Courier New" w:hAnsi="Courier New" w:cs="Courier New" w:hint="default"/>
      </w:rPr>
    </w:lvl>
    <w:lvl w:ilvl="5" w:tplc="2B2455E2" w:tentative="1">
      <w:start w:val="1"/>
      <w:numFmt w:val="bullet"/>
      <w:lvlText w:val=""/>
      <w:lvlJc w:val="left"/>
      <w:pPr>
        <w:ind w:left="4320" w:hanging="360"/>
      </w:pPr>
      <w:rPr>
        <w:rFonts w:ascii="Wingdings" w:hAnsi="Wingdings" w:hint="default"/>
      </w:rPr>
    </w:lvl>
    <w:lvl w:ilvl="6" w:tplc="4F34D730" w:tentative="1">
      <w:start w:val="1"/>
      <w:numFmt w:val="bullet"/>
      <w:lvlText w:val=""/>
      <w:lvlJc w:val="left"/>
      <w:pPr>
        <w:ind w:left="5040" w:hanging="360"/>
      </w:pPr>
      <w:rPr>
        <w:rFonts w:ascii="Symbol" w:hAnsi="Symbol" w:hint="default"/>
      </w:rPr>
    </w:lvl>
    <w:lvl w:ilvl="7" w:tplc="E0E65142" w:tentative="1">
      <w:start w:val="1"/>
      <w:numFmt w:val="bullet"/>
      <w:lvlText w:val="o"/>
      <w:lvlJc w:val="left"/>
      <w:pPr>
        <w:ind w:left="5760" w:hanging="360"/>
      </w:pPr>
      <w:rPr>
        <w:rFonts w:ascii="Courier New" w:hAnsi="Courier New" w:cs="Courier New" w:hint="default"/>
      </w:rPr>
    </w:lvl>
    <w:lvl w:ilvl="8" w:tplc="DF02DA06" w:tentative="1">
      <w:start w:val="1"/>
      <w:numFmt w:val="bullet"/>
      <w:lvlText w:val=""/>
      <w:lvlJc w:val="left"/>
      <w:pPr>
        <w:ind w:left="6480" w:hanging="360"/>
      </w:pPr>
      <w:rPr>
        <w:rFonts w:ascii="Wingdings" w:hAnsi="Wingdings" w:hint="default"/>
      </w:rPr>
    </w:lvl>
  </w:abstractNum>
  <w:abstractNum w:abstractNumId="20" w15:restartNumberingAfterBreak="0">
    <w:nsid w:val="78941FFC"/>
    <w:multiLevelType w:val="multilevel"/>
    <w:tmpl w:val="22C2DB9E"/>
    <w:lvl w:ilvl="0">
      <w:start w:val="20"/>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BA37DBA"/>
    <w:multiLevelType w:val="multilevel"/>
    <w:tmpl w:val="BED81F1C"/>
    <w:lvl w:ilvl="0">
      <w:start w:val="5"/>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22" w15:restartNumberingAfterBreak="0">
    <w:nsid w:val="7C6872A1"/>
    <w:multiLevelType w:val="hybridMultilevel"/>
    <w:tmpl w:val="700E460A"/>
    <w:lvl w:ilvl="0" w:tplc="3440DFC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7F053B0" w:tentative="1">
      <w:start w:val="1"/>
      <w:numFmt w:val="bullet"/>
      <w:lvlText w:val="o"/>
      <w:lvlJc w:val="left"/>
      <w:pPr>
        <w:tabs>
          <w:tab w:val="num" w:pos="1440"/>
        </w:tabs>
        <w:ind w:left="1440" w:hanging="360"/>
      </w:pPr>
      <w:rPr>
        <w:rFonts w:ascii="Courier New" w:hAnsi="Courier New" w:hint="default"/>
      </w:rPr>
    </w:lvl>
    <w:lvl w:ilvl="2" w:tplc="165665D6" w:tentative="1">
      <w:start w:val="1"/>
      <w:numFmt w:val="bullet"/>
      <w:lvlText w:val=""/>
      <w:lvlJc w:val="left"/>
      <w:pPr>
        <w:tabs>
          <w:tab w:val="num" w:pos="2160"/>
        </w:tabs>
        <w:ind w:left="2160" w:hanging="360"/>
      </w:pPr>
      <w:rPr>
        <w:rFonts w:ascii="Wingdings" w:hAnsi="Wingdings" w:hint="default"/>
      </w:rPr>
    </w:lvl>
    <w:lvl w:ilvl="3" w:tplc="601212BA" w:tentative="1">
      <w:start w:val="1"/>
      <w:numFmt w:val="bullet"/>
      <w:lvlText w:val=""/>
      <w:lvlJc w:val="left"/>
      <w:pPr>
        <w:tabs>
          <w:tab w:val="num" w:pos="2880"/>
        </w:tabs>
        <w:ind w:left="2880" w:hanging="360"/>
      </w:pPr>
      <w:rPr>
        <w:rFonts w:ascii="Symbol" w:hAnsi="Symbol" w:hint="default"/>
      </w:rPr>
    </w:lvl>
    <w:lvl w:ilvl="4" w:tplc="D8D4D034" w:tentative="1">
      <w:start w:val="1"/>
      <w:numFmt w:val="bullet"/>
      <w:lvlText w:val="o"/>
      <w:lvlJc w:val="left"/>
      <w:pPr>
        <w:tabs>
          <w:tab w:val="num" w:pos="3600"/>
        </w:tabs>
        <w:ind w:left="3600" w:hanging="360"/>
      </w:pPr>
      <w:rPr>
        <w:rFonts w:ascii="Courier New" w:hAnsi="Courier New" w:hint="default"/>
      </w:rPr>
    </w:lvl>
    <w:lvl w:ilvl="5" w:tplc="F1CE1142" w:tentative="1">
      <w:start w:val="1"/>
      <w:numFmt w:val="bullet"/>
      <w:lvlText w:val=""/>
      <w:lvlJc w:val="left"/>
      <w:pPr>
        <w:tabs>
          <w:tab w:val="num" w:pos="4320"/>
        </w:tabs>
        <w:ind w:left="4320" w:hanging="360"/>
      </w:pPr>
      <w:rPr>
        <w:rFonts w:ascii="Wingdings" w:hAnsi="Wingdings" w:hint="default"/>
      </w:rPr>
    </w:lvl>
    <w:lvl w:ilvl="6" w:tplc="5FFCB3E6" w:tentative="1">
      <w:start w:val="1"/>
      <w:numFmt w:val="bullet"/>
      <w:lvlText w:val=""/>
      <w:lvlJc w:val="left"/>
      <w:pPr>
        <w:tabs>
          <w:tab w:val="num" w:pos="5040"/>
        </w:tabs>
        <w:ind w:left="5040" w:hanging="360"/>
      </w:pPr>
      <w:rPr>
        <w:rFonts w:ascii="Symbol" w:hAnsi="Symbol" w:hint="default"/>
      </w:rPr>
    </w:lvl>
    <w:lvl w:ilvl="7" w:tplc="1FD0F828" w:tentative="1">
      <w:start w:val="1"/>
      <w:numFmt w:val="bullet"/>
      <w:lvlText w:val="o"/>
      <w:lvlJc w:val="left"/>
      <w:pPr>
        <w:tabs>
          <w:tab w:val="num" w:pos="5760"/>
        </w:tabs>
        <w:ind w:left="5760" w:hanging="360"/>
      </w:pPr>
      <w:rPr>
        <w:rFonts w:ascii="Courier New" w:hAnsi="Courier New" w:hint="default"/>
      </w:rPr>
    </w:lvl>
    <w:lvl w:ilvl="8" w:tplc="AB349E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19"/>
  </w:num>
  <w:num w:numId="3">
    <w:abstractNumId w:val="13"/>
  </w:num>
  <w:num w:numId="4">
    <w:abstractNumId w:val="17"/>
  </w:num>
  <w:num w:numId="5">
    <w:abstractNumId w:val="11"/>
  </w:num>
  <w:num w:numId="6">
    <w:abstractNumId w:val="5"/>
  </w:num>
  <w:num w:numId="7">
    <w:abstractNumId w:val="6"/>
  </w:num>
  <w:num w:numId="8">
    <w:abstractNumId w:val="15"/>
  </w:num>
  <w:num w:numId="9">
    <w:abstractNumId w:val="23"/>
  </w:num>
  <w:num w:numId="10">
    <w:abstractNumId w:val="21"/>
  </w:num>
  <w:num w:numId="11">
    <w:abstractNumId w:val="7"/>
  </w:num>
  <w:num w:numId="12">
    <w:abstractNumId w:val="9"/>
  </w:num>
  <w:num w:numId="13">
    <w:abstractNumId w:val="0"/>
  </w:num>
  <w:num w:numId="14">
    <w:abstractNumId w:val="14"/>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3"/>
  </w:num>
  <w:num w:numId="19">
    <w:abstractNumId w:val="8"/>
  </w:num>
  <w:num w:numId="20">
    <w:abstractNumId w:val="18"/>
  </w:num>
  <w:num w:numId="21">
    <w:abstractNumId w:val="1"/>
  </w:num>
  <w:num w:numId="22">
    <w:abstractNumId w:val="10"/>
  </w:num>
  <w:num w:numId="23">
    <w:abstractNumId w:val="2"/>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80228"/>
    <w:rsid w:val="0009071E"/>
    <w:rsid w:val="000A672E"/>
    <w:rsid w:val="000C3494"/>
    <w:rsid w:val="000F75CB"/>
    <w:rsid w:val="00120E65"/>
    <w:rsid w:val="00126587"/>
    <w:rsid w:val="00163649"/>
    <w:rsid w:val="00192BB1"/>
    <w:rsid w:val="001C6ED7"/>
    <w:rsid w:val="001D3B9C"/>
    <w:rsid w:val="001F7768"/>
    <w:rsid w:val="00210AEC"/>
    <w:rsid w:val="00224B8E"/>
    <w:rsid w:val="0025620C"/>
    <w:rsid w:val="00267057"/>
    <w:rsid w:val="00273876"/>
    <w:rsid w:val="00282A51"/>
    <w:rsid w:val="00284855"/>
    <w:rsid w:val="002A0009"/>
    <w:rsid w:val="002A5BA0"/>
    <w:rsid w:val="002C4DAB"/>
    <w:rsid w:val="002C7859"/>
    <w:rsid w:val="002F06A9"/>
    <w:rsid w:val="002F1805"/>
    <w:rsid w:val="002F4B61"/>
    <w:rsid w:val="0032368D"/>
    <w:rsid w:val="00351879"/>
    <w:rsid w:val="00367901"/>
    <w:rsid w:val="003804D2"/>
    <w:rsid w:val="00380522"/>
    <w:rsid w:val="003806F9"/>
    <w:rsid w:val="003B02F5"/>
    <w:rsid w:val="003E3722"/>
    <w:rsid w:val="003E3AB0"/>
    <w:rsid w:val="003F64E2"/>
    <w:rsid w:val="003F68E4"/>
    <w:rsid w:val="00402D18"/>
    <w:rsid w:val="0041722B"/>
    <w:rsid w:val="00457821"/>
    <w:rsid w:val="00465B5C"/>
    <w:rsid w:val="004758E2"/>
    <w:rsid w:val="00483CC4"/>
    <w:rsid w:val="00490A28"/>
    <w:rsid w:val="0049437A"/>
    <w:rsid w:val="004D17C5"/>
    <w:rsid w:val="004D6039"/>
    <w:rsid w:val="00506D5E"/>
    <w:rsid w:val="00510168"/>
    <w:rsid w:val="005204B0"/>
    <w:rsid w:val="00522E7D"/>
    <w:rsid w:val="00542184"/>
    <w:rsid w:val="005629DD"/>
    <w:rsid w:val="00562CDE"/>
    <w:rsid w:val="0057271F"/>
    <w:rsid w:val="00576DC5"/>
    <w:rsid w:val="00584159"/>
    <w:rsid w:val="005A4E40"/>
    <w:rsid w:val="005B62C8"/>
    <w:rsid w:val="005C5465"/>
    <w:rsid w:val="005E7794"/>
    <w:rsid w:val="00613634"/>
    <w:rsid w:val="00613EC1"/>
    <w:rsid w:val="00613F4C"/>
    <w:rsid w:val="00617525"/>
    <w:rsid w:val="00622B7A"/>
    <w:rsid w:val="00627A92"/>
    <w:rsid w:val="00641609"/>
    <w:rsid w:val="00643408"/>
    <w:rsid w:val="006475D9"/>
    <w:rsid w:val="00651429"/>
    <w:rsid w:val="006A7267"/>
    <w:rsid w:val="006B1C4D"/>
    <w:rsid w:val="006B62C4"/>
    <w:rsid w:val="006B7CC3"/>
    <w:rsid w:val="006D56BC"/>
    <w:rsid w:val="006F27C3"/>
    <w:rsid w:val="00706128"/>
    <w:rsid w:val="00737971"/>
    <w:rsid w:val="00742E39"/>
    <w:rsid w:val="007637E9"/>
    <w:rsid w:val="00763FEA"/>
    <w:rsid w:val="00774BC4"/>
    <w:rsid w:val="00780F98"/>
    <w:rsid w:val="0078549D"/>
    <w:rsid w:val="007948D6"/>
    <w:rsid w:val="00795744"/>
    <w:rsid w:val="007C7E3E"/>
    <w:rsid w:val="007D215D"/>
    <w:rsid w:val="007E4570"/>
    <w:rsid w:val="007E4749"/>
    <w:rsid w:val="00802E59"/>
    <w:rsid w:val="00804F02"/>
    <w:rsid w:val="00812062"/>
    <w:rsid w:val="00844861"/>
    <w:rsid w:val="00845312"/>
    <w:rsid w:val="0085583E"/>
    <w:rsid w:val="00857BD9"/>
    <w:rsid w:val="00883AC9"/>
    <w:rsid w:val="008A31BC"/>
    <w:rsid w:val="008A4C2F"/>
    <w:rsid w:val="008B2D37"/>
    <w:rsid w:val="008C37E1"/>
    <w:rsid w:val="008D541D"/>
    <w:rsid w:val="008F13BA"/>
    <w:rsid w:val="009157BD"/>
    <w:rsid w:val="009472CD"/>
    <w:rsid w:val="00947881"/>
    <w:rsid w:val="00957931"/>
    <w:rsid w:val="00974AB3"/>
    <w:rsid w:val="009947D7"/>
    <w:rsid w:val="009A018E"/>
    <w:rsid w:val="009A514D"/>
    <w:rsid w:val="009C1604"/>
    <w:rsid w:val="009D625C"/>
    <w:rsid w:val="00A0164F"/>
    <w:rsid w:val="00A356DB"/>
    <w:rsid w:val="00A42807"/>
    <w:rsid w:val="00A47DF8"/>
    <w:rsid w:val="00A5416D"/>
    <w:rsid w:val="00A67766"/>
    <w:rsid w:val="00A851F7"/>
    <w:rsid w:val="00A95452"/>
    <w:rsid w:val="00A964C7"/>
    <w:rsid w:val="00B0500A"/>
    <w:rsid w:val="00B054AF"/>
    <w:rsid w:val="00B85F3A"/>
    <w:rsid w:val="00B8772E"/>
    <w:rsid w:val="00B91BF0"/>
    <w:rsid w:val="00B95697"/>
    <w:rsid w:val="00BA2420"/>
    <w:rsid w:val="00BC25D4"/>
    <w:rsid w:val="00BC3CC9"/>
    <w:rsid w:val="00BE1920"/>
    <w:rsid w:val="00BE5BEB"/>
    <w:rsid w:val="00BE77AB"/>
    <w:rsid w:val="00BF268F"/>
    <w:rsid w:val="00C03CA4"/>
    <w:rsid w:val="00C3676B"/>
    <w:rsid w:val="00C9033C"/>
    <w:rsid w:val="00CD4005"/>
    <w:rsid w:val="00CF622A"/>
    <w:rsid w:val="00D01593"/>
    <w:rsid w:val="00D0369E"/>
    <w:rsid w:val="00D1305C"/>
    <w:rsid w:val="00D4431F"/>
    <w:rsid w:val="00D85D59"/>
    <w:rsid w:val="00DF59D9"/>
    <w:rsid w:val="00DF7476"/>
    <w:rsid w:val="00E05F7E"/>
    <w:rsid w:val="00E06F2E"/>
    <w:rsid w:val="00E10BF8"/>
    <w:rsid w:val="00E13285"/>
    <w:rsid w:val="00E53D73"/>
    <w:rsid w:val="00E709F7"/>
    <w:rsid w:val="00E75510"/>
    <w:rsid w:val="00E811D7"/>
    <w:rsid w:val="00E87F45"/>
    <w:rsid w:val="00E963B8"/>
    <w:rsid w:val="00EC0007"/>
    <w:rsid w:val="00ED3333"/>
    <w:rsid w:val="00ED4FF1"/>
    <w:rsid w:val="00EF0D35"/>
    <w:rsid w:val="00F26C7F"/>
    <w:rsid w:val="00F37B00"/>
    <w:rsid w:val="00F60644"/>
    <w:rsid w:val="00F929C3"/>
    <w:rsid w:val="00F967A2"/>
    <w:rsid w:val="00F97987"/>
    <w:rsid w:val="00FB2F2E"/>
    <w:rsid w:val="00FB3074"/>
    <w:rsid w:val="00FC5CFD"/>
    <w:rsid w:val="00FD2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customStyle="1" w:styleId="Default">
    <w:name w:val="Default"/>
    <w:rsid w:val="002C78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23</cp:revision>
  <cp:lastPrinted>2014-03-21T13:56:00Z</cp:lastPrinted>
  <dcterms:created xsi:type="dcterms:W3CDTF">2023-02-10T11:37:00Z</dcterms:created>
  <dcterms:modified xsi:type="dcterms:W3CDTF">2023-09-15T12:54:00Z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Progress report</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Dawn Highton</vt:lpwstr>
  </property>
  <property fmtid="{D5CDD505-2E9C-101B-9397-08002B2CF9AE}" pid="7" name="LeadOfficerEmail">
    <vt:lpwstr>dawn.highton@southribble.gov.uk</vt:lpwstr>
  </property>
  <property fmtid="{D5CDD505-2E9C-101B-9397-08002B2CF9AE}" pid="8" name="LeadOfficerPost">
    <vt:lpwstr>Head of Audit &amp; Risk</vt:lpwstr>
  </property>
  <property fmtid="{D5CDD505-2E9C-101B-9397-08002B2CF9AE}" pid="9" name="LeadOfficerTel">
    <vt:lpwstr/>
  </property>
  <property fmtid="{D5CDD505-2E9C-101B-9397-08002B2CF9AE}" pid="10" name="MeetingDate">
    <vt:lpwstr>Tuesday, 26 September 2023</vt:lpwstr>
  </property>
</Properties>
</file>